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הפליאה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bidi w:val="1"/>
            <w:jc w:val="center"/>
            <w:rPr/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טביעת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המטבע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שינוי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מהמטבע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משנה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לעומת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תוספתא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בבלי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וירושלמי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ראשונים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רשב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ההכרעה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כרבי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מאיר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וגבולות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השינוי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מאירי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הכרעה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כרבי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יוסי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ברכה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ופליאה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שם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ומלכות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8296"/>
            </w:tabs>
            <w:bidi w:val="1"/>
            <w:spacing w:after="100" w:before="0" w:line="36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הלכה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E">
      <w:pPr>
        <w:pStyle w:val="Heading2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טביעת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ונשיאת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נבוכדנצר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נתבלבלו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אשדודית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ואמצעיות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הברכות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והתפלות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ונוסח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1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ואשכחון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ושיתקו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היסופר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תהילים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נבורייא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u w:val="single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החותמות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תתהפך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פרצופותיהן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הגזלנין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תינתא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חיטתא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לחבירתה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המוטיבציה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לטביעת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המטבע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אליבא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דהרמב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מהירושלמי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להציע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לחשיבותו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המטבע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חסרונות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במטבע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אנושי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השבח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שבמטבע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והתאנה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המוזכרים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מזכירים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ותאנה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בסוגיין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A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מהמטבע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תוספתא</w:t>
      </w:r>
    </w:p>
    <w:p w:rsidR="00000000" w:rsidDel="00000000" w:rsidP="00000000" w:rsidRDefault="00000000" w:rsidRPr="00000000" w14:paraId="0000001B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[*]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תוספתא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כפשוטה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...</w:t>
      </w:r>
      <w:r w:rsidDel="00000000" w:rsidR="00000000" w:rsidRPr="00000000">
        <w:rPr>
          <w:rtl w:val="1"/>
        </w:rPr>
        <w:t xml:space="preserve">מרהיטת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שבברכת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עסיקינן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חיטתא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באהצו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151).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התאנים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  <w:t xml:space="preserve">15. </w:t>
      </w:r>
      <w:r w:rsidDel="00000000" w:rsidR="00000000" w:rsidRPr="00000000">
        <w:rPr>
          <w:b w:val="1"/>
          <w:rtl w:val="1"/>
        </w:rPr>
        <w:t xml:space="preserve">ושינה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וכו</w:t>
      </w:r>
      <w:r w:rsidDel="00000000" w:rsidR="00000000" w:rsidRPr="00000000">
        <w:rPr>
          <w:b w:val="1"/>
          <w:rtl w:val="1"/>
        </w:rPr>
        <w:t xml:space="preserve">'.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וכרגיל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שינויו</w:t>
      </w:r>
      <w:r w:rsidDel="00000000" w:rsidR="00000000" w:rsidRPr="00000000">
        <w:rPr>
          <w:rtl w:val="1"/>
        </w:rPr>
        <w:t xml:space="preserve">... </w:t>
        <w:br w:type="textWrapping"/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ההבדלים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הבולטים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המטבע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שטבעו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שבדיעבד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המגיעה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בורות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לכתחילה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קשור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למחלוקת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התנאים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שדברים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3">
      <w:pPr>
        <w:pStyle w:val="Heading2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וירושלמי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 "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'."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2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פיסתי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ואתפח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בגדתאה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פטרתון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מלאודויי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ראשונים</w:t>
      </w:r>
    </w:p>
    <w:p w:rsidR="00000000" w:rsidDel="00000000" w:rsidP="00000000" w:rsidRDefault="00000000" w:rsidRPr="00000000" w14:paraId="0000002A">
      <w:pPr>
        <w:pStyle w:val="Heading3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</w:p>
    <w:p w:rsidR="00000000" w:rsidDel="00000000" w:rsidP="00000000" w:rsidRDefault="00000000" w:rsidRPr="00000000" w14:paraId="0000002B">
      <w:pPr>
        <w:bidi w:val="1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חדושי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הרשב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מסכת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ברכות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עמוד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יוחנן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ויין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יוחנן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דהלכתא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כותיה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לגבי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ובפלוגתא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דר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ורבי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יוסי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נמי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קיי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חדא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דפשטה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דר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אתיא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יוחנן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ועוד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דבהדיא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פסקו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הלכה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u w:val="single"/>
          <w:rtl w:val="1"/>
        </w:rPr>
        <w:t xml:space="preserve">בירושלמי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דגרסינן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התם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יעקב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אחא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שמואל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הלכה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והא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דקאמר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ראשונה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היכי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דתקינו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שמעי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נוסח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הברכות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מעכב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המטבע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הקצר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ארוך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הארוך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קצר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כתבתי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בפ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דמטבע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ארוך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שפותח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וחותם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וקצר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שפותח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חותם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שחותם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פותח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סמוכה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לחברתה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המטבע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וכדתנן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בפרק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דמכלתין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[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']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שאמרו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להאריך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רשאי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לקצר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לקצר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רשאי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להאריך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</w:t>
      </w:r>
      <w:r w:rsidDel="00000000" w:rsidR="00000000" w:rsidRPr="00000000">
        <w:rPr>
          <w:rFonts w:ascii="Narkisim" w:cs="Narkisim" w:eastAsia="Narkisim" w:hAnsi="Narkisim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הכי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מסתבר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דבהא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ראשונה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פותח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וחותם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ראשונה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המזון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ארוכה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והלכך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צריך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בריך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מריה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דהאי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בריך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דזן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וכיוצא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בזה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שיהיה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פותח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בברוך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וחותם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בברוך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דבעי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שיזכיר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והיינו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דבתר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אדכר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פלוגתא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יוחנן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מצאתי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מקצת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ספרים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שגורסין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בפירוש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בריך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מלכא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מריה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דהאי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D">
      <w:pPr>
        <w:pStyle w:val="Heading3"/>
        <w:bidi w:val="1"/>
        <w:rPr/>
      </w:pPr>
      <w:bookmarkStart w:colFirst="0" w:colLast="0" w:name="_3dy6vkm" w:id="6"/>
      <w:bookmarkEnd w:id="6"/>
      <w:r w:rsidDel="00000000" w:rsidR="00000000" w:rsidRPr="00000000">
        <w:rPr>
          <w:rtl w:val="1"/>
        </w:rPr>
        <w:t xml:space="preserve">מאירי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</w:p>
    <w:p w:rsidR="00000000" w:rsidDel="00000000" w:rsidP="00000000" w:rsidRDefault="00000000" w:rsidRPr="00000000" w14:paraId="00000030">
      <w:pPr>
        <w:tabs>
          <w:tab w:val="left" w:leader="none" w:pos="1166"/>
        </w:tabs>
        <w:bidi w:val="1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מהר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בנעט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מסכת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עמוד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</w:p>
    <w:p w:rsidR="00000000" w:rsidDel="00000000" w:rsidP="00000000" w:rsidRDefault="00000000" w:rsidRPr="00000000" w14:paraId="00000031">
      <w:pPr>
        <w:tabs>
          <w:tab w:val="left" w:leader="none" w:pos="1166"/>
        </w:tabs>
        <w:bidi w:val="1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גמ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בנימין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רעיא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אליבא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יוסי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דקי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כוותי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דלר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דשקיל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וטרי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בזה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32">
      <w:pPr>
        <w:tabs>
          <w:tab w:val="left" w:leader="none" w:pos="1166"/>
        </w:tabs>
        <w:bidi w:val="1"/>
        <w:rPr>
          <w:rFonts w:ascii="Narkisim" w:cs="Narkisim" w:eastAsia="Narkisim" w:hAnsi="Narkisim"/>
          <w:b w:val="1"/>
          <w:sz w:val="20"/>
          <w:szCs w:val="20"/>
        </w:rPr>
      </w:pP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מהר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בנעט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מסכת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ברכות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הערות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דף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עמוד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הערה</w:t>
      </w:r>
      <w:r w:rsidDel="00000000" w:rsidR="00000000" w:rsidRPr="00000000">
        <w:rPr>
          <w:rFonts w:ascii="Narkisim" w:cs="Narkisim" w:eastAsia="Narkisim" w:hAnsi="Narkisim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88: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דברי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מרן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צל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טובא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ראשית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דהא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קיי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מאיר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יוסי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בב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סי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קס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ואם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בירך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וכ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הגר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ומבואר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בדברי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הרא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הרשב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הריטב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והמרדכי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ובאשכול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בשם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האי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גאון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ועיין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בכ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מהלכות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ברכות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שמתחלה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בדעת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הרמב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שפסק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יוסי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ולבסוף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מסיק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דגם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הרמב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ס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מאיר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ועיין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חי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שמן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רוקח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תו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קשה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דהראשונים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הנ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הוכיחו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דהלכה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מהא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דבנימין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רעיא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מוכח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דס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דמהלך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הסוגיא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אתיא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דוקא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כר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יוסי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וא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דברי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מרן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בקטע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צע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166"/>
        </w:tabs>
        <w:bidi w:val="1"/>
        <w:rPr>
          <w:rFonts w:ascii="Narkisim" w:cs="Narkisim" w:eastAsia="Narkisim" w:hAnsi="Narkisim"/>
          <w:b w:val="1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קסז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בריך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מלכא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דעלמא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מארי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דהאי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פיתא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סיים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פיתא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דברכות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נאמרות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ברהמ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כדתנן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נאמרין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.]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שלפני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אכילה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מפורש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בברכות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':]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ולאו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שבירך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תרגום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יתורגם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אלקינו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מלך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דמארי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דהאי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פיתא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דעיקר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העניין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בברכה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חול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דתקינו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הקודש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והכוונה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לעניין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הסיום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דהמוציא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דאלו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לעניין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אלהינו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מלך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וודאי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דצריך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ומעכב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כמה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נאה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פת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ברוך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שבראה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דבירושלמי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ממטבע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שטבעו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בברכות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כנלע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וש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הזכירו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]: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bidi w:val="1"/>
        <w:rPr/>
      </w:pPr>
      <w:bookmarkStart w:colFirst="0" w:colLast="0" w:name="_17dp8vu" w:id="7"/>
      <w:bookmarkEnd w:id="7"/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3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טועה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המטבע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והזכיר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אזכרה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הברכה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קריאת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b w:val="1"/>
          <w:rtl w:val="1"/>
        </w:rPr>
        <w:t xml:space="preserve">כללו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ממטבע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שטבעו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כמטבע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...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תמיהתו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סח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ונכון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בפ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חזר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</w:p>
    <w:p w:rsidR="00000000" w:rsidDel="00000000" w:rsidP="00000000" w:rsidRDefault="00000000" w:rsidRPr="00000000" w14:paraId="0000003D">
      <w:pPr>
        <w:pStyle w:val="Heading2"/>
        <w:bidi w:val="1"/>
        <w:rPr/>
      </w:pPr>
      <w:bookmarkStart w:colFirst="0" w:colLast="0" w:name="_1t3h5sf" w:id="8"/>
      <w:bookmarkEnd w:id="8"/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ופליאה</w:t>
      </w:r>
    </w:p>
    <w:p w:rsidR="00000000" w:rsidDel="00000000" w:rsidP="00000000" w:rsidRDefault="00000000" w:rsidRPr="00000000" w14:paraId="0000003E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פסח</w:t>
      </w:r>
      <w:r w:rsidDel="00000000" w:rsidR="00000000" w:rsidRPr="00000000">
        <w:rPr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במכילתא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וכשנגאלין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אראנו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הנפלאות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u w:val="single"/>
          <w:rtl w:val="1"/>
        </w:rPr>
        <w:t xml:space="preserve">הרב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אברהם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השל</w:t>
      </w:r>
      <w:r w:rsidDel="00000000" w:rsidR="00000000" w:rsidRPr="00000000">
        <w:rPr>
          <w:u w:val="single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ההכרה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נפלאותיך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…"    </w:t>
      </w:r>
      <w:r w:rsidDel="00000000" w:rsidR="00000000" w:rsidRPr="00000000">
        <w:rPr>
          <w:rtl w:val="1"/>
        </w:rPr>
        <w:t xml:space="preserve">בתפילת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איוב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מכריזים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אלוהינו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שבפליאה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יומיומית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יומיומית</w:t>
      </w:r>
      <w:r w:rsidDel="00000000" w:rsidR="00000000" w:rsidRPr="00000000">
        <w:rPr>
          <w:rtl w:val="1"/>
        </w:rPr>
        <w:t xml:space="preserve">. 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פיסיקלי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פיסיולוגי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פיסיקלי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פיסיולוגי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המסתורין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הנצחי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שהכול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בבואנו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בראותנו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האוקיינוס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בפריחתם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בפוגשנו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ובהכרתנו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פיסיולוגית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 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'…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כהרפתקאות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שבכול</w:t>
      </w:r>
      <w:r w:rsidDel="00000000" w:rsidR="00000000" w:rsidRPr="00000000">
        <w:rPr>
          <w:rtl w:val="1"/>
        </w:rPr>
        <w:t xml:space="preserve">. </w:t>
      </w:r>
    </w:p>
    <w:p w:rsidR="00000000" w:rsidDel="00000000" w:rsidP="00000000" w:rsidRDefault="00000000" w:rsidRPr="00000000" w14:paraId="00000042">
      <w:pPr>
        <w:pStyle w:val="Heading2"/>
        <w:bidi w:val="1"/>
        <w:rPr/>
      </w:pPr>
      <w:bookmarkStart w:colFirst="0" w:colLast="0" w:name="_4d34og8" w:id="9"/>
      <w:bookmarkEnd w:id="9"/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</w:p>
    <w:p w:rsidR="00000000" w:rsidDel="00000000" w:rsidP="00000000" w:rsidRDefault="00000000" w:rsidRPr="00000000" w14:paraId="0000004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ִּ֣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ֶּ֞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ַ֠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ַׂ֧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ָ֛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ָ֥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ִׁ֖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ַ֣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ַֽ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ֵׂ֑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ָּ֣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ִ֗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֣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ָ֔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֥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ֶ֖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ֵֽ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ּ: 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ָּ֡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֩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ָ֨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ֶ֜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ַ֧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ֹּ֣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ַּ֗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ַ֨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ִּ֤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֣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ָ֔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ָ֖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ֶׁ֣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ָ֑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ֹֽ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ַ֥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ֶ֖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ֹ֥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שכחתי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שכחתי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מלברכך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ומלהזכיר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מלברכך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תנחומא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תהילים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ארוממך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רבי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יוחנן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ורבי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יונתן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אזלין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מיעבד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באילין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קורייתא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דדרומה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ואשכחון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לחזנא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הגדול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הגבור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והנורא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האביר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והאמיץ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ושיתקו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אמרו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להוסיף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מטבע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שטבעו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חכמים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בברכות</w:t>
      </w:r>
      <w:r w:rsidDel="00000000" w:rsidR="00000000" w:rsidRPr="00000000">
        <w:rPr>
          <w:sz w:val="18"/>
          <w:szCs w:val="18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רב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הונא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בשם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רב</w:t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איוב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לז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כג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sz w:val="18"/>
          <w:szCs w:val="18"/>
          <w:rtl w:val="1"/>
        </w:rPr>
        <w:t xml:space="preserve">שדי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מצאנוהו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שגיא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מצינו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כחו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וגבורתו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הקדוש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ברוך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רבי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אבהו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בשם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יוחנן</w:t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שם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sz w:val="18"/>
          <w:szCs w:val="18"/>
          <w:rtl w:val="1"/>
        </w:rPr>
        <w:t xml:space="preserve">היסופר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אדבר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יבולע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לספר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גבורותיו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הקדוש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ברוך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מתבלע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העולם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שמואל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נחמן</w:t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תהילים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sz w:val="18"/>
          <w:szCs w:val="18"/>
          <w:rtl w:val="1"/>
        </w:rPr>
        <w:t xml:space="preserve">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ימלל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גבורות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כגון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וחברי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רבי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אבון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ימלל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גבורות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תרגם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יעקב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כפר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נבורייא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בצור</w:t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שם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sz w:val="18"/>
          <w:szCs w:val="18"/>
          <w:rtl w:val="1"/>
        </w:rPr>
        <w:t xml:space="preserve">לך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דומיה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תהלה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אלהים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בציון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דכולא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משתוקא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למרגלית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דלית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טימי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שמשבח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פגמה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ליברמן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כפשוטה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04C">
      <w:pPr>
        <w:bidi w:val="1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והברייתות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להשמיט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שבבבלי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b w:val="1"/>
          <w:rtl w:val="1"/>
        </w:rPr>
        <w:t xml:space="preserve">ולפיכך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שבדיעבד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הזכיר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במפורש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ובלבד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לשמים</w:t>
      </w:r>
      <w:r w:rsidDel="00000000" w:rsidR="00000000" w:rsidRPr="00000000">
        <w:rPr>
          <w:b w:val="1"/>
          <w:rtl w:val="1"/>
        </w:rPr>
        <w:t xml:space="preserve">. 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אהצו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195 </w:t>
      </w:r>
      <w:r w:rsidDel="00000000" w:rsidR="00000000" w:rsidRPr="00000000">
        <w:rPr>
          <w:rtl w:val="1"/>
        </w:rPr>
        <w:t xml:space="preserve">ובראבי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95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sz w:val="18"/>
          <w:szCs w:val="18"/>
          <w:rtl w:val="1"/>
        </w:rPr>
        <w:t xml:space="preserve">אבל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אפשר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שבא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פירשו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ברכה</w:t>
      </w:r>
      <w:r w:rsidDel="00000000" w:rsidR="00000000" w:rsidRPr="00000000">
        <w:rPr>
          <w:sz w:val="18"/>
          <w:szCs w:val="18"/>
          <w:rtl w:val="1"/>
        </w:rPr>
        <w:t xml:space="preserve"> - </w:t>
      </w:r>
      <w:r w:rsidDel="00000000" w:rsidR="00000000" w:rsidRPr="00000000">
        <w:rPr>
          <w:sz w:val="18"/>
          <w:szCs w:val="18"/>
          <w:rtl w:val="1"/>
        </w:rPr>
        <w:t xml:space="preserve">אינה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כתיקונה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אמרו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בכריתות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'):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תענית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מפושעי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ישראל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תענית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בירושלמי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תענית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ס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וע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אילין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תענייתא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דאנן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גי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הגאונים</w:t>
      </w:r>
      <w:r w:rsidDel="00000000" w:rsidR="00000000" w:rsidRPr="00000000">
        <w:rPr>
          <w:sz w:val="18"/>
          <w:szCs w:val="18"/>
          <w:rtl w:val="1"/>
        </w:rPr>
        <w:t xml:space="preserve">: </w:t>
      </w:r>
      <w:r w:rsidDel="00000000" w:rsidR="00000000" w:rsidRPr="00000000">
        <w:rPr>
          <w:sz w:val="18"/>
          <w:szCs w:val="18"/>
          <w:rtl w:val="1"/>
        </w:rPr>
        <w:t xml:space="preserve">דאינון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עבדין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אינון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תעניין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דלית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נשייא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עמן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ופירושו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התענית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כתיקונה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ועיין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ברא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ז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ריש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עמ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קנ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ד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רב</w:t>
      </w:r>
      <w:r w:rsidDel="00000000" w:rsidR="00000000" w:rsidRPr="00000000">
        <w:rPr>
          <w:sz w:val="18"/>
          <w:szCs w:val="18"/>
          <w:rtl w:val="1"/>
        </w:rPr>
        <w:t xml:space="preserve">: </w:t>
      </w:r>
      <w:r w:rsidDel="00000000" w:rsidR="00000000" w:rsidRPr="00000000">
        <w:rPr>
          <w:sz w:val="18"/>
          <w:szCs w:val="18"/>
          <w:rtl w:val="1"/>
        </w:rPr>
        <w:t xml:space="preserve">צריך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פירושו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שלכתחילה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הברכה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בנסתר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בדיעבד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יצא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אפילו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בנסתר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ועיין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חמודות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רפ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ט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</w:t>
      </w:r>
      <w:r w:rsidDel="00000000" w:rsidR="00000000" w:rsidRPr="00000000">
        <w:rPr>
          <w:sz w:val="18"/>
          <w:szCs w:val="18"/>
          <w:rtl w:val="1"/>
        </w:rPr>
        <w:t xml:space="preserve">'). </w:t>
      </w:r>
      <w:r w:rsidDel="00000000" w:rsidR="00000000" w:rsidRPr="00000000">
        <w:rPr>
          <w:sz w:val="18"/>
          <w:szCs w:val="18"/>
          <w:rtl w:val="1"/>
        </w:rPr>
        <w:t xml:space="preserve">וצ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ע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ועיין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ריטב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ז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רע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הסיגנון</w:t>
      </w:r>
      <w:r w:rsidDel="00000000" w:rsidR="00000000" w:rsidRPr="00000000">
        <w:rPr>
          <w:sz w:val="18"/>
          <w:szCs w:val="18"/>
          <w:rtl w:val="1"/>
        </w:rPr>
        <w:t xml:space="preserve"> "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יצא</w:t>
      </w:r>
      <w:r w:rsidDel="00000000" w:rsidR="00000000" w:rsidRPr="00000000">
        <w:rPr>
          <w:sz w:val="18"/>
          <w:szCs w:val="18"/>
          <w:rtl w:val="1"/>
        </w:rPr>
        <w:t xml:space="preserve">", </w:t>
      </w:r>
      <w:r w:rsidDel="00000000" w:rsidR="00000000" w:rsidRPr="00000000">
        <w:rPr>
          <w:sz w:val="18"/>
          <w:szCs w:val="18"/>
          <w:rtl w:val="1"/>
        </w:rPr>
        <w:t xml:space="preserve">עיי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. [</w:t>
      </w:r>
      <w:r w:rsidDel="00000000" w:rsidR="00000000" w:rsidRPr="00000000">
        <w:rPr>
          <w:sz w:val="18"/>
          <w:szCs w:val="18"/>
          <w:rtl w:val="1"/>
        </w:rPr>
        <w:t xml:space="preserve">והוא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מהשגות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הראב</w:t>
      </w:r>
      <w:r w:rsidDel="00000000" w:rsidR="00000000" w:rsidRPr="00000000">
        <w:rPr>
          <w:sz w:val="18"/>
          <w:szCs w:val="18"/>
          <w:rtl w:val="1"/>
        </w:rPr>
        <w:t xml:space="preserve">״</w:t>
      </w:r>
      <w:r w:rsidDel="00000000" w:rsidR="00000000" w:rsidRPr="00000000">
        <w:rPr>
          <w:sz w:val="18"/>
          <w:szCs w:val="18"/>
          <w:rtl w:val="1"/>
        </w:rPr>
        <w:t xml:space="preserve">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</w:t>
      </w:r>
      <w:r w:rsidDel="00000000" w:rsidR="00000000" w:rsidRPr="00000000">
        <w:rPr>
          <w:sz w:val="18"/>
          <w:szCs w:val="18"/>
          <w:rtl w:val="1"/>
        </w:rPr>
        <w:t xml:space="preserve">״</w:t>
      </w:r>
      <w:r w:rsidDel="00000000" w:rsidR="00000000" w:rsidRPr="00000000">
        <w:rPr>
          <w:sz w:val="18"/>
          <w:szCs w:val="18"/>
          <w:rtl w:val="1"/>
        </w:rPr>
        <w:t xml:space="preserve">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</w:t>
      </w:r>
      <w:r w:rsidDel="00000000" w:rsidR="00000000" w:rsidRPr="00000000">
        <w:rPr>
          <w:sz w:val="18"/>
          <w:szCs w:val="18"/>
          <w:rtl w:val="1"/>
        </w:rPr>
        <w:t xml:space="preserve">׳ </w:t>
      </w:r>
      <w:r w:rsidDel="00000000" w:rsidR="00000000" w:rsidRPr="00000000">
        <w:rPr>
          <w:sz w:val="18"/>
          <w:szCs w:val="18"/>
          <w:rtl w:val="1"/>
        </w:rPr>
        <w:t xml:space="preserve">תפילה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</w:t>
      </w:r>
      <w:r w:rsidDel="00000000" w:rsidR="00000000" w:rsidRPr="00000000">
        <w:rPr>
          <w:sz w:val="18"/>
          <w:szCs w:val="18"/>
          <w:rtl w:val="1"/>
        </w:rPr>
        <w:t xml:space="preserve">״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bidi w:val="1"/>
        <w:rPr/>
      </w:pPr>
      <w:bookmarkStart w:colFirst="0" w:colLast="0" w:name="_2s8eyo1" w:id="10"/>
      <w:bookmarkEnd w:id="10"/>
      <w:r w:rsidDel="00000000" w:rsidR="00000000" w:rsidRPr="00000000">
        <w:rPr>
          <w:rtl w:val="1"/>
        </w:rPr>
        <w:t xml:space="preserve">הלכה</w:t>
      </w:r>
    </w:p>
    <w:p w:rsidR="00000000" w:rsidDel="00000000" w:rsidP="00000000" w:rsidRDefault="00000000" w:rsidRPr="00000000" w14:paraId="0000004E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4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סעודה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קסז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*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&lt;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: * </w:t>
      </w:r>
      <w:r w:rsidDel="00000000" w:rsidR="00000000" w:rsidRPr="00000000">
        <w:rPr>
          <w:rtl w:val="1"/>
        </w:rPr>
        <w:t xml:space="preserve">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מלכא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מאריה</w:t>
      </w:r>
      <w:r w:rsidDel="00000000" w:rsidR="00000000" w:rsidRPr="00000000">
        <w:rPr>
          <w:rtl w:val="1"/>
        </w:rPr>
        <w:t xml:space="preserve"> * (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פיתא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קסז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מנוסח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ומשמע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המקום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נג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מלך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דיצא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</w:p>
    <w:p w:rsidR="00000000" w:rsidDel="00000000" w:rsidP="00000000" w:rsidRDefault="00000000" w:rsidRPr="00000000" w14:paraId="0000005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ריד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ריד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&lt;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; *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; *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b w:val="1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arkisim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וילנא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חיטתא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דקתני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למימרא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לקצר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ולהאריך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בנוסח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ולמעט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במלותיה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ובענינים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ידועים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ולהשמיענו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בנוסחתה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הקפדה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כמחלוקתן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בהזכרת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מחזירין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בקצת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ויציב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וקריעת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בתוספתא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אסיקנא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שאכלו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ומשמע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דאפי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לכתחלה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מדמייתי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וההיא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לכתחילה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וכדמשמע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</w:footnote>
  <w:footnote w:id="2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שנתרפא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דיהבך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לעפרא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שיתבאר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ולשיטתנו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בהזכרת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ובחתימה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שביארנו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יוחנן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יוחנן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</w:p>
  </w:footnote>
  <w:footnote w:id="3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רשימות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שעורים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סולובייצ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ומבואר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דבסוגיין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שטבעו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ליישב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דהחילוק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בהזכרת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וכשמברך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ארמית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ארמית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':)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שטבעו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לדקדק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רומזות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לנוסח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שכוונת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דטועה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וכדרבי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דפלוגתא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לפירושא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מעתיקים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באהצוי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ודעתם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ושמואל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הקפידו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ואלוקינו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פותחין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באזכרת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ותיקנו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ואליעזר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הודיע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לבריותיו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שאליעזר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כשמואל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ושארי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מסתפקנא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דדוקא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  <w:footnote w:id="7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ביאור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דילג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בפתיחה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פקודיך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דילג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דמהרא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לעיכובא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דעלמא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דעלמא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מוכרחות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כוותיה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ארוממך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מוכרחין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שנמשכו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הידיעה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מסתברא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