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ומשמעותו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24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f5496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מקורות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לשון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בורא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כלשון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עבר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ראשונים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הלכה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מחשבה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9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במלואם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bidiVisual w:val="1"/>
        <w:tblW w:w="54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0"/>
        <w:gridCol w:w="3118"/>
        <w:tblGridChange w:id="0">
          <w:tblGrid>
            <w:gridCol w:w="2360"/>
            <w:gridCol w:w="31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הארץ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בורא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פרי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האדמה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המוציא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לחם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הארץ</w:t>
            </w:r>
          </w:p>
        </w:tc>
      </w:tr>
    </w:tbl>
    <w:p w:rsidR="00000000" w:rsidDel="00000000" w:rsidP="00000000" w:rsidRDefault="00000000" w:rsidRPr="00000000" w14:paraId="00000014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חשבו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ההבדלים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הברכות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משמעותם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הבדלים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הכרחיים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בניסוח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הברכה</w:t>
      </w:r>
      <w:r w:rsidDel="00000000" w:rsidR="00000000" w:rsidRPr="00000000">
        <w:rPr>
          <w:i w:val="1"/>
          <w:rtl w:val="1"/>
        </w:rPr>
        <w:t xml:space="preserve">? </w:t>
      </w: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הבדלים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שאינם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הכרחיים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הבבלי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בהמוציא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החלמיש</w:t>
      </w:r>
      <w:r w:rsidDel="00000000" w:rsidR="00000000" w:rsidRPr="00000000">
        <w:rPr>
          <w:rtl w:val="1"/>
        </w:rPr>
        <w:t xml:space="preserve">;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וידעתם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משתבחין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לכשיבא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ריפתא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color w:val="ff0000"/>
          <w:rtl w:val="1"/>
        </w:rPr>
        <w:t xml:space="preserve">תלמוד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בבלי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מסכת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ברכות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דף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לח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עמוד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ואיהו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מפלוגתא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מכנה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משותף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לפסוקים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המסייעים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נחמיה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ביחס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לפסוקים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ולפרשנות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החכמים</w:t>
      </w:r>
      <w:r w:rsidDel="00000000" w:rsidR="00000000" w:rsidRPr="00000000">
        <w:rPr>
          <w:i w:val="1"/>
          <w:rtl w:val="1"/>
        </w:rPr>
        <w:t xml:space="preserve">? </w:t>
      </w: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נימוק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בסוגיה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לפסיקה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כחכמים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איתפלגין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חיננא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וחרנא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? [</w:t>
      </w:r>
      <w:r w:rsidDel="00000000" w:rsidR="00000000" w:rsidRPr="00000000">
        <w:rPr>
          <w:rtl w:val="1"/>
        </w:rPr>
        <w:t xml:space="preserve">תהילים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איתפלגון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וקלסיה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האותיות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איתפלגון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השאלה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תבואה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וכדכתיב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בתהלים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האבודרהם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כמשמעו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וירקות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שפשוטה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כמשמעה</w:t>
      </w:r>
      <w:r w:rsidDel="00000000" w:rsidR="00000000" w:rsidRPr="00000000">
        <w:rPr>
          <w:b w:val="1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למברא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ונוטיהם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ומאורי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בברא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עדיף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עירובין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גיהנם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הפשעים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שפשעו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שפושעים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!...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דפשעי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ובמדרש</w:t>
      </w:r>
    </w:p>
    <w:p w:rsidR="00000000" w:rsidDel="00000000" w:rsidP="00000000" w:rsidRDefault="00000000" w:rsidRPr="00000000" w14:paraId="00000027">
      <w:pPr>
        <w:pStyle w:val="Heading2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ראשונים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המוציא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לגלות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שהלכה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כרבנן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כדחזינן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שהקפיד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זירא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גדול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ודוגמתו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דפסחים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והלכתא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ביעור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חמץ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ואמרינן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בלבער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פליגי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דלהבא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משמע</w:t>
      </w:r>
      <w:r w:rsidDel="00000000" w:rsidR="00000000" w:rsidRPr="00000000">
        <w:rPr>
          <w:sz w:val="18"/>
          <w:szCs w:val="18"/>
          <w:rtl w:val="1"/>
        </w:rPr>
        <w:t xml:space="preserve">...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והבבלי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סעודה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וברכת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מפיו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כתועפות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'...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ושביק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גלוסקאות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והאבודרהם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האבודרהם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גלוסקאות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ובקשה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והבקשה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אמצעיות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שבתפלה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יגיעת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במחשבתו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גלוסקאות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העבר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pStyle w:val="Heading2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הלכה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שולחן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סעודה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וברכת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ובלחם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ילקוט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נטילת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החלמיש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ומברכותיו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דמברכותיו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להבליע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לעיכובא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ובראבי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pStyle w:val="Heading2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מחשבה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פסחים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נתקררה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פסחים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זלגו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פרנסתן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דקאכלינן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מרחיקין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מכאוב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שמחשבותיו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מנעוריו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קראן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ינעם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הכוונות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הכיפורים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הגופניים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וענוים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תפלות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וניזונים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הגופני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ורוחניו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</w:t>
      </w:r>
    </w:p>
  </w:footnote>
  <w:footnote w:id="1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ָ֤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׀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ׁ׀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ָ֗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ָ:</w:t>
      </w:r>
    </w:p>
  </w:footnote>
  <w:footnote w:id="2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וארא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֘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֒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גמליאל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גלוסקאות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ליגלג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ואראך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כמיהין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ופטריות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</w:footnote>
  <w:footnote w:id="4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נקראין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וחרנא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וחורנא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גרגלד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עגול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ורחב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עגול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ולפיכך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ועגולה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</w:footnote>
  <w:footnote w:id="5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הגירסא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הגירסה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