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bidi w:val="1"/>
        <w:jc w:val="center"/>
        <w:rPr>
          <w:sz w:val="30"/>
          <w:szCs w:val="30"/>
        </w:rPr>
      </w:pPr>
      <w:bookmarkStart w:colFirst="0" w:colLast="0" w:name="_gjdgxs" w:id="0"/>
      <w:bookmarkEnd w:id="0"/>
      <w:r w:rsidDel="00000000" w:rsidR="00000000" w:rsidRPr="00000000">
        <w:rPr>
          <w:sz w:val="30"/>
          <w:szCs w:val="30"/>
          <w:rtl w:val="1"/>
        </w:rPr>
        <w:t xml:space="preserve">ברכה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לפני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המזון</w:t>
      </w:r>
      <w:r w:rsidDel="00000000" w:rsidR="00000000" w:rsidRPr="00000000">
        <w:rPr>
          <w:sz w:val="30"/>
          <w:szCs w:val="30"/>
          <w:rtl w:val="1"/>
        </w:rPr>
        <w:t xml:space="preserve"> – </w:t>
      </w:r>
      <w:r w:rsidDel="00000000" w:rsidR="00000000" w:rsidRPr="00000000">
        <w:rPr>
          <w:sz w:val="30"/>
          <w:szCs w:val="30"/>
          <w:rtl w:val="1"/>
        </w:rPr>
        <w:t xml:space="preserve">מקור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ומשמעות</w:t>
      </w:r>
    </w:p>
    <w:p w:rsidR="00000000" w:rsidDel="00000000" w:rsidP="00000000" w:rsidRDefault="00000000" w:rsidRPr="00000000" w14:paraId="00000002">
      <w:pPr>
        <w:bidi w:val="1"/>
        <w:jc w:val="center"/>
        <w:rPr/>
      </w:pP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8296"/>
            </w:tabs>
            <w:bidi w:val="1"/>
            <w:spacing w:after="100" w:before="0" w:line="240" w:lineRule="auto"/>
            <w:ind w:left="220" w:right="0" w:firstLine="0"/>
            <w:jc w:val="both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2,2,Heading 3,3,"</w:instrText>
            <w:fldChar w:fldCharType="separate"/>
          </w:r>
          <w:hyperlink w:anchor="_gjdgxs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ברכה</w:t>
            </w:r>
          </w:hyperlink>
          <w:hyperlink w:anchor="_gjdgxs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gjdgxs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לפני</w:t>
            </w:r>
          </w:hyperlink>
          <w:hyperlink w:anchor="_gjdgxs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gjdgxs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המזון</w:t>
            </w:r>
          </w:hyperlink>
          <w:hyperlink w:anchor="_gjdgxs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</w:hyperlink>
          <w:hyperlink w:anchor="_gjdgxs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מקור</w:t>
            </w:r>
          </w:hyperlink>
          <w:hyperlink w:anchor="_gjdgxs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gjdgxs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ומשמעות</w:t>
            </w:r>
          </w:hyperlink>
          <w:hyperlink w:anchor="_gjdgxs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8296"/>
            </w:tabs>
            <w:bidi w:val="1"/>
            <w:spacing w:after="100" w:before="0" w:line="240" w:lineRule="auto"/>
            <w:ind w:left="44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30j0zl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שורשים</w:t>
            </w:r>
          </w:hyperlink>
          <w:hyperlink w:anchor="_30j0zl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0j0zl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מקראיים</w:t>
            </w:r>
          </w:hyperlink>
          <w:hyperlink w:anchor="_30j0zl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0j0zl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לברכה</w:t>
            </w:r>
          </w:hyperlink>
          <w:hyperlink w:anchor="_30j0zl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0j0zl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לפניה</w:t>
            </w:r>
          </w:hyperlink>
          <w:hyperlink w:anchor="_30j0zl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8296"/>
            </w:tabs>
            <w:bidi w:val="1"/>
            <w:spacing w:after="100" w:before="0" w:line="240" w:lineRule="auto"/>
            <w:ind w:left="44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מקור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ברכה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לפניה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- 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תנאים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8296"/>
            </w:tabs>
            <w:bidi w:val="1"/>
            <w:spacing w:after="100" w:before="0" w:line="240" w:lineRule="auto"/>
            <w:ind w:left="44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tyjcwt">
            <w:r w:rsidDel="00000000" w:rsidR="00000000" w:rsidRPr="00000000">
              <w:rPr>
                <w:rtl w:val="0"/>
              </w:rPr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קודש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הילולים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8296"/>
            </w:tabs>
            <w:bidi w:val="1"/>
            <w:spacing w:after="100" w:before="0" w:line="240" w:lineRule="auto"/>
            <w:ind w:left="44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סוגיות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התלמודים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8296"/>
            </w:tabs>
            <w:bidi w:val="1"/>
            <w:spacing w:after="100" w:before="0" w:line="240" w:lineRule="auto"/>
            <w:ind w:left="44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ראשונים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(1) – 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האם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למסקנת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הסוגיה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ברכה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לפניה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נלמדת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קודש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הילולים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 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או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מסברא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?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8296"/>
            </w:tabs>
            <w:bidi w:val="1"/>
            <w:spacing w:after="100" w:before="0" w:line="240" w:lineRule="auto"/>
            <w:ind w:left="22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ברכה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לפניה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בין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מצווה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לאיסור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("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מתיר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")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8296"/>
            </w:tabs>
            <w:bidi w:val="1"/>
            <w:spacing w:after="100" w:before="0" w:line="240" w:lineRule="auto"/>
            <w:ind w:left="44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ספק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ברכות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להקל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בברכה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לפניה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8296"/>
            </w:tabs>
            <w:bidi w:val="1"/>
            <w:spacing w:after="100" w:before="0" w:line="240" w:lineRule="auto"/>
            <w:ind w:left="44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בקיעים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בתפיסת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"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ספק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ברכות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להקל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 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בעקבות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סוגיין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8296"/>
            </w:tabs>
            <w:bidi w:val="1"/>
            <w:spacing w:after="100" w:before="0" w:line="240" w:lineRule="auto"/>
            <w:ind w:left="44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אכילה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ללא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ברכה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היא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איסור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ועל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כן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אין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סב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- 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רעק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והמהרש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8296"/>
            </w:tabs>
            <w:bidi w:val="1"/>
            <w:spacing w:after="100" w:before="0" w:line="240" w:lineRule="auto"/>
            <w:ind w:left="44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26in1r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הלכה</w:t>
            </w:r>
          </w:hyperlink>
          <w:hyperlink w:anchor="_26in1r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8296"/>
            </w:tabs>
            <w:bidi w:val="1"/>
            <w:spacing w:after="100" w:before="0" w:line="240" w:lineRule="auto"/>
            <w:ind w:left="44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lnxbz9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אחרונים</w:t>
            </w:r>
          </w:hyperlink>
          <w:hyperlink w:anchor="_lnxbz9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8296"/>
            </w:tabs>
            <w:bidi w:val="1"/>
            <w:spacing w:after="100" w:before="0" w:line="240" w:lineRule="auto"/>
            <w:ind w:left="44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35nkun2">
            <w:r w:rsidDel="00000000" w:rsidR="00000000" w:rsidRPr="00000000">
              <w:rPr>
                <w:rtl w:val="0"/>
              </w:rPr>
            </w:r>
          </w:hyperlink>
          <w:hyperlink w:anchor="_35nkun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</w:hyperlink>
          <w:hyperlink w:anchor="_35nkun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כאילו</w:t>
            </w:r>
          </w:hyperlink>
          <w:hyperlink w:anchor="_35nkun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5nkun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גוזל</w:t>
            </w:r>
          </w:hyperlink>
          <w:hyperlink w:anchor="_35nkun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 – </w:t>
            </w:r>
          </w:hyperlink>
          <w:hyperlink w:anchor="_35nkun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את</w:t>
            </w:r>
          </w:hyperlink>
          <w:hyperlink w:anchor="_35nkun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5nkun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השפע</w:t>
            </w:r>
          </w:hyperlink>
          <w:hyperlink w:anchor="_35nkun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5nkun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או</w:t>
            </w:r>
          </w:hyperlink>
          <w:hyperlink w:anchor="_35nkun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5nkun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את</w:t>
            </w:r>
          </w:hyperlink>
          <w:hyperlink w:anchor="_35nkun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5nkun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הברכה</w:t>
            </w:r>
          </w:hyperlink>
          <w:hyperlink w:anchor="_35nkun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?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bidi w:val="1"/>
            <w:spacing w:line="240" w:lineRule="auto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1">
      <w:pPr>
        <w:pStyle w:val="Heading3"/>
        <w:bidi w:val="1"/>
        <w:rPr/>
      </w:pPr>
      <w:bookmarkStart w:colFirst="0" w:colLast="0" w:name="_30j0zll" w:id="1"/>
      <w:bookmarkEnd w:id="1"/>
      <w:r w:rsidDel="00000000" w:rsidR="00000000" w:rsidRPr="00000000">
        <w:rPr>
          <w:rtl w:val="1"/>
        </w:rPr>
        <w:t xml:space="preserve">שורשים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שמואל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יג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bidi w:val="1"/>
        <w:rPr/>
      </w:pPr>
      <w:bookmarkStart w:colFirst="0" w:colLast="0" w:name="_1fob9te" w:id="2"/>
      <w:bookmarkEnd w:id="2"/>
      <w:r w:rsidDel="00000000" w:rsidR="00000000" w:rsidRPr="00000000">
        <w:rPr>
          <w:rtl w:val="1"/>
        </w:rPr>
        <w:t xml:space="preserve">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תנאים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5">
      <w:pPr>
        <w:bidi w:val="1"/>
        <w:rPr>
          <w:i w:val="1"/>
        </w:rPr>
      </w:pPr>
      <w:r w:rsidDel="00000000" w:rsidR="00000000" w:rsidRPr="00000000">
        <w:rPr>
          <w:b w:val="1"/>
          <w:i w:val="1"/>
          <w:rtl w:val="1"/>
        </w:rPr>
        <w:t xml:space="preserve">א</w:t>
      </w:r>
      <w:r w:rsidDel="00000000" w:rsidR="00000000" w:rsidRPr="00000000">
        <w:rPr>
          <w:b w:val="1"/>
          <w:i w:val="1"/>
          <w:rtl w:val="1"/>
        </w:rPr>
        <w:t xml:space="preserve">. "</w:t>
      </w:r>
      <w:r w:rsidDel="00000000" w:rsidR="00000000" w:rsidRPr="00000000">
        <w:rPr>
          <w:b w:val="1"/>
          <w:i w:val="1"/>
          <w:rtl w:val="1"/>
        </w:rPr>
        <w:t xml:space="preserve">קודש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הילולים</w:t>
      </w:r>
      <w:r w:rsidDel="00000000" w:rsidR="00000000" w:rsidRPr="00000000">
        <w:rPr>
          <w:b w:val="1"/>
          <w:i w:val="1"/>
          <w:rtl w:val="1"/>
        </w:rPr>
        <w:t xml:space="preserve">" - </w:t>
      </w:r>
      <w:r w:rsidDel="00000000" w:rsidR="00000000" w:rsidRPr="00000000">
        <w:rPr>
          <w:b w:val="1"/>
          <w:i w:val="1"/>
          <w:rtl w:val="1"/>
        </w:rPr>
        <w:t xml:space="preserve">ספרא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קדושים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פרשה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ג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סוף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פרק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ה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הילולים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ולאחריו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יטעום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שיברך</w:t>
      </w:r>
    </w:p>
    <w:p w:rsidR="00000000" w:rsidDel="00000000" w:rsidP="00000000" w:rsidRDefault="00000000" w:rsidRPr="00000000" w14:paraId="00000017">
      <w:pPr>
        <w:bidi w:val="1"/>
        <w:rPr>
          <w:i w:val="1"/>
        </w:rPr>
      </w:pPr>
      <w:bookmarkStart w:colFirst="0" w:colLast="0" w:name="_3znysh7" w:id="3"/>
      <w:bookmarkEnd w:id="3"/>
      <w:r w:rsidDel="00000000" w:rsidR="00000000" w:rsidRPr="00000000">
        <w:rPr>
          <w:b w:val="1"/>
          <w:i w:val="1"/>
          <w:rtl w:val="1"/>
        </w:rPr>
        <w:t xml:space="preserve">ב</w:t>
      </w:r>
      <w:r w:rsidDel="00000000" w:rsidR="00000000" w:rsidRPr="00000000">
        <w:rPr>
          <w:b w:val="1"/>
          <w:i w:val="1"/>
          <w:rtl w:val="1"/>
        </w:rPr>
        <w:t xml:space="preserve">. </w:t>
      </w:r>
      <w:r w:rsidDel="00000000" w:rsidR="00000000" w:rsidRPr="00000000">
        <w:rPr>
          <w:b w:val="1"/>
          <w:i w:val="1"/>
          <w:rtl w:val="1"/>
        </w:rPr>
        <w:t xml:space="preserve">ברכת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המזון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לפניה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נלמדת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מברכת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המזון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לאחריה</w:t>
      </w:r>
      <w:r w:rsidDel="00000000" w:rsidR="00000000" w:rsidRPr="00000000">
        <w:rPr>
          <w:b w:val="1"/>
          <w:i w:val="1"/>
          <w:rtl w:val="1"/>
        </w:rPr>
        <w:t xml:space="preserve"> - </w:t>
      </w:r>
      <w:r w:rsidDel="00000000" w:rsidR="00000000" w:rsidRPr="00000000">
        <w:rPr>
          <w:b w:val="1"/>
          <w:i w:val="1"/>
          <w:rtl w:val="1"/>
        </w:rPr>
        <w:t xml:space="preserve">מכילתא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דר</w:t>
      </w:r>
      <w:r w:rsidDel="00000000" w:rsidR="00000000" w:rsidRPr="00000000">
        <w:rPr>
          <w:b w:val="1"/>
          <w:i w:val="1"/>
          <w:rtl w:val="1"/>
        </w:rPr>
        <w:t xml:space="preserve">"</w:t>
      </w:r>
      <w:r w:rsidDel="00000000" w:rsidR="00000000" w:rsidRPr="00000000">
        <w:rPr>
          <w:b w:val="1"/>
          <w:i w:val="1"/>
          <w:rtl w:val="1"/>
        </w:rPr>
        <w:t xml:space="preserve">י</w:t>
      </w:r>
      <w:r w:rsidDel="00000000" w:rsidR="00000000" w:rsidRPr="00000000">
        <w:rPr>
          <w:b w:val="1"/>
          <w:i w:val="1"/>
          <w:rtl w:val="1"/>
        </w:rPr>
        <w:t xml:space="preserve">- </w:t>
      </w:r>
      <w:r w:rsidDel="00000000" w:rsidR="00000000" w:rsidRPr="00000000">
        <w:rPr>
          <w:b w:val="1"/>
          <w:i w:val="1"/>
          <w:rtl w:val="1"/>
        </w:rPr>
        <w:t xml:space="preserve">מסכתא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דפסחא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פרשה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טז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8">
      <w:pPr>
        <w:bidi w:val="1"/>
        <w:rPr/>
      </w:pPr>
      <w:bookmarkStart w:colFirst="0" w:colLast="0" w:name="_2et92p0" w:id="4"/>
      <w:bookmarkEnd w:id="4"/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כבואכם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תמצאון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הבמתה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=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'=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ועבדתם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אלהיכם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מימך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אימתי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ולאחריו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ולאחריו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ולאחריה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b w:val="1"/>
          <w:rtl w:val="1"/>
        </w:rPr>
        <w:t xml:space="preserve">תוספתא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ליברמן</w:t>
      </w:r>
      <w:r w:rsidDel="00000000" w:rsidR="00000000" w:rsidRPr="00000000">
        <w:rPr>
          <w:b w:val="1"/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אלהיך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והלבנון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והמטיב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...]</w:t>
      </w:r>
    </w:p>
    <w:p w:rsidR="00000000" w:rsidDel="00000000" w:rsidP="00000000" w:rsidRDefault="00000000" w:rsidRPr="00000000" w14:paraId="0000001B">
      <w:pPr>
        <w:bidi w:val="1"/>
        <w:rPr>
          <w:b w:val="1"/>
          <w:i w:val="1"/>
        </w:rPr>
      </w:pPr>
      <w:r w:rsidDel="00000000" w:rsidR="00000000" w:rsidRPr="00000000">
        <w:rPr>
          <w:b w:val="1"/>
          <w:i w:val="1"/>
          <w:rtl w:val="1"/>
        </w:rPr>
        <w:t xml:space="preserve">ג</w:t>
      </w:r>
      <w:r w:rsidDel="00000000" w:rsidR="00000000" w:rsidRPr="00000000">
        <w:rPr>
          <w:b w:val="1"/>
          <w:i w:val="1"/>
          <w:rtl w:val="1"/>
        </w:rPr>
        <w:t xml:space="preserve">. "</w:t>
      </w:r>
      <w:r w:rsidDel="00000000" w:rsidR="00000000" w:rsidRPr="00000000">
        <w:rPr>
          <w:b w:val="1"/>
          <w:i w:val="1"/>
          <w:rtl w:val="1"/>
        </w:rPr>
        <w:t xml:space="preserve">לה</w:t>
      </w:r>
      <w:r w:rsidDel="00000000" w:rsidR="00000000" w:rsidRPr="00000000">
        <w:rPr>
          <w:b w:val="1"/>
          <w:i w:val="1"/>
          <w:rtl w:val="1"/>
        </w:rPr>
        <w:t xml:space="preserve">' </w:t>
      </w:r>
      <w:r w:rsidDel="00000000" w:rsidR="00000000" w:rsidRPr="00000000">
        <w:rPr>
          <w:b w:val="1"/>
          <w:i w:val="1"/>
          <w:rtl w:val="1"/>
        </w:rPr>
        <w:t xml:space="preserve">הארץ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ומלואה</w:t>
      </w:r>
      <w:r w:rsidDel="00000000" w:rsidR="00000000" w:rsidRPr="00000000">
        <w:rPr>
          <w:b w:val="1"/>
          <w:i w:val="1"/>
          <w:rtl w:val="1"/>
        </w:rPr>
        <w:t xml:space="preserve">" - </w:t>
      </w:r>
      <w:r w:rsidDel="00000000" w:rsidR="00000000" w:rsidRPr="00000000">
        <w:rPr>
          <w:b w:val="1"/>
          <w:i w:val="1"/>
          <w:rtl w:val="1"/>
        </w:rPr>
        <w:t xml:space="preserve">תוספתא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מסכת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ברכות</w:t>
      </w:r>
      <w:r w:rsidDel="00000000" w:rsidR="00000000" w:rsidRPr="00000000">
        <w:rPr>
          <w:b w:val="1"/>
          <w:i w:val="1"/>
          <w:rtl w:val="1"/>
        </w:rPr>
        <w:t xml:space="preserve"> (</w:t>
      </w:r>
      <w:r w:rsidDel="00000000" w:rsidR="00000000" w:rsidRPr="00000000">
        <w:rPr>
          <w:b w:val="1"/>
          <w:i w:val="1"/>
          <w:rtl w:val="1"/>
        </w:rPr>
        <w:t xml:space="preserve">ליברמן</w:t>
      </w:r>
      <w:r w:rsidDel="00000000" w:rsidR="00000000" w:rsidRPr="00000000">
        <w:rPr>
          <w:b w:val="1"/>
          <w:i w:val="1"/>
          <w:rtl w:val="1"/>
        </w:rPr>
        <w:t xml:space="preserve">) </w:t>
      </w:r>
      <w:r w:rsidDel="00000000" w:rsidR="00000000" w:rsidRPr="00000000">
        <w:rPr>
          <w:b w:val="1"/>
          <w:i w:val="1"/>
          <w:rtl w:val="1"/>
        </w:rPr>
        <w:t xml:space="preserve">פרק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ד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הלכה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א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יטעום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ומלואה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וברגליו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למענהו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3"/>
        <w:bidi w:val="1"/>
        <w:rPr/>
      </w:pPr>
      <w:bookmarkStart w:colFirst="0" w:colLast="0" w:name="_tyjcwt" w:id="5"/>
      <w:bookmarkEnd w:id="5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הילולים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b w:val="1"/>
          <w:rtl w:val="1"/>
        </w:rPr>
        <w:t xml:space="preserve">ויקרא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יט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כג</w:t>
      </w:r>
      <w:r w:rsidDel="00000000" w:rsidR="00000000" w:rsidRPr="00000000">
        <w:rPr>
          <w:b w:val="1"/>
          <w:rtl w:val="1"/>
        </w:rPr>
        <w:t xml:space="preserve">-</w:t>
      </w:r>
      <w:r w:rsidDel="00000000" w:rsidR="00000000" w:rsidRPr="00000000">
        <w:rPr>
          <w:b w:val="1"/>
          <w:rtl w:val="1"/>
        </w:rPr>
        <w:t xml:space="preserve">כו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ֹ֣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ּ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ָ֗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ֶּ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֙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ֵ֣</w:t>
      </w:r>
      <w:r w:rsidDel="00000000" w:rsidR="00000000" w:rsidRPr="00000000">
        <w:rPr>
          <w:rtl w:val="1"/>
        </w:rPr>
        <w:t xml:space="preserve">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ָ֔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ֶּ֥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֖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ֹ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֑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ֹ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ָׁ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ֹ֣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ָׁ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ִ֗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ֶ֥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ֶ֛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ִ֖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ֹ֥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ֵֽ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ָּׁ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֙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יע</w:t>
      </w:r>
      <w:r w:rsidDel="00000000" w:rsidR="00000000" w:rsidRPr="00000000">
        <w:rPr>
          <w:rtl w:val="1"/>
        </w:rPr>
        <w:t xml:space="preserve">ִ֔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ֶ֖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֑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ֹ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ֹ֥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ִ֖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יק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ָֽ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: 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ָּׁ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ָ֣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ִׁ֗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ֹּֽ</w:t>
      </w:r>
      <w:r w:rsidDel="00000000" w:rsidR="00000000" w:rsidRPr="00000000">
        <w:rPr>
          <w:rtl w:val="1"/>
        </w:rPr>
        <w:t xml:space="preserve">אכ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ּ֙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֔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ֹ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ִ֥</w:t>
      </w:r>
      <w:r w:rsidDel="00000000" w:rsidR="00000000" w:rsidRPr="00000000">
        <w:rPr>
          <w:rtl w:val="1"/>
        </w:rPr>
        <w:t xml:space="preserve">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ֶ֖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֑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ֹ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ִ֖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ָ֥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ֱ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יכ</w:t>
      </w:r>
      <w:r w:rsidDel="00000000" w:rsidR="00000000" w:rsidRPr="00000000">
        <w:rPr>
          <w:rtl w:val="1"/>
        </w:rPr>
        <w:t xml:space="preserve">ֶֽ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:  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b w:val="1"/>
          <w:rtl w:val="1"/>
        </w:rPr>
        <w:t xml:space="preserve">העמק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ויקרא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פסוק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: (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האף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כידוע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שתכליתו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כתכלית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וביארו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תכליתו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הלולים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והלאה</w:t>
      </w:r>
      <w:r w:rsidDel="00000000" w:rsidR="00000000" w:rsidRPr="00000000">
        <w:rPr>
          <w:rtl w:val="1"/>
        </w:rPr>
        <w:t xml:space="preserve">....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b w:val="1"/>
          <w:rtl w:val="1"/>
        </w:rPr>
        <w:t xml:space="preserve">הרחב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ויקרא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פרשת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קדושים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פסוק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ועמדנו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:(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ועמדנו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שהסמיכו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שהסמיכו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שהקריבו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הכהנים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מתפללין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הקרבן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בראשית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תענית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משתחוים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הצריכו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בזמן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מברכין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הנהנין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רבעי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והי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מועיל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הארץ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ועתה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רבעי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הצריכו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אכילה</w:t>
      </w:r>
      <w:r w:rsidDel="00000000" w:rsidR="00000000" w:rsidRPr="00000000">
        <w:rPr>
          <w:b w:val="1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אסמכתא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':</w:t>
      </w:r>
    </w:p>
    <w:p w:rsidR="00000000" w:rsidDel="00000000" w:rsidP="00000000" w:rsidRDefault="00000000" w:rsidRPr="00000000" w14:paraId="00000021">
      <w:pPr>
        <w:pStyle w:val="Heading3"/>
        <w:bidi w:val="1"/>
        <w:rPr/>
      </w:pPr>
      <w:bookmarkStart w:colFirst="0" w:colLast="0" w:name="_3dy6vkm" w:id="6"/>
      <w:bookmarkEnd w:id="6"/>
      <w:r w:rsidDel="00000000" w:rsidR="00000000" w:rsidRPr="00000000">
        <w:rPr>
          <w:rtl w:val="1"/>
        </w:rPr>
        <w:t xml:space="preserve">סוגיות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התלמודים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בבלי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סוגיית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הפתיחה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לפרקנו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נתקיימה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בידן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בבלי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רבנן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לברכת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המזון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אפילו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נימא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ירושלמי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וילנא</w:t>
      </w:r>
      <w:r w:rsidDel="00000000" w:rsidR="00000000" w:rsidRPr="00000000">
        <w:rPr>
          <w:b w:val="1"/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תהילים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ויושבי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ותבואת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פדיונו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יחזקיה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לקיש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תהילים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אכלת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וברכת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כביכול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כאלו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משלך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אכלת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בגופך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ויבואו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מבלעדיך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בראשית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ובלעדיך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1"/>
        </w:rPr>
        <w:t xml:space="preserve">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ויקרא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ולאחריו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יטעום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שיברך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b w:val="1"/>
          <w:rtl w:val="1"/>
        </w:rPr>
        <w:t xml:space="preserve">ירושלמי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וילנא</w:t>
      </w:r>
      <w:r w:rsidDel="00000000" w:rsidR="00000000" w:rsidRPr="00000000">
        <w:rPr>
          <w:b w:val="1"/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1"/>
        </w:rPr>
        <w:t xml:space="preserve">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לאלהינו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וברכת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עד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כדון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עקיבא</w:t>
      </w:r>
      <w:r w:rsidDel="00000000" w:rsidR="00000000" w:rsidRPr="00000000">
        <w:rPr>
          <w:b w:val="1"/>
          <w:rtl w:val="1"/>
        </w:rPr>
        <w:t xml:space="preserve">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כר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ישמעאל</w:t>
      </w:r>
      <w:r w:rsidDel="00000000" w:rsidR="00000000" w:rsidRPr="00000000">
        <w:rPr>
          <w:b w:val="1"/>
          <w:rtl w:val="1"/>
        </w:rPr>
        <w:t xml:space="preserve">?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וחומר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הקרואים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ועבדתם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אלהיכם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אכלת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ולאחריו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A">
      <w:pPr>
        <w:pStyle w:val="Heading3"/>
        <w:bidi w:val="1"/>
        <w:rPr/>
      </w:pPr>
      <w:bookmarkStart w:colFirst="0" w:colLast="0" w:name="_1t3h5sf" w:id="7"/>
      <w:bookmarkEnd w:id="7"/>
      <w:r w:rsidDel="00000000" w:rsidR="00000000" w:rsidRPr="00000000">
        <w:rPr>
          <w:rtl w:val="1"/>
        </w:rPr>
        <w:t xml:space="preserve">ראשונים</w:t>
      </w:r>
      <w:r w:rsidDel="00000000" w:rsidR="00000000" w:rsidRPr="00000000">
        <w:rPr>
          <w:rtl w:val="1"/>
        </w:rPr>
        <w:t xml:space="preserve"> (1) –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הילולים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מסברא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2B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תוספות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: 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וקרא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דנסיב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אסמכתא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b w:val="1"/>
          <w:rtl w:val="1"/>
        </w:rPr>
        <w:t xml:space="preserve">רש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סברא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rtl w:val="1"/>
        </w:rPr>
        <w:t xml:space="preserve">דלתרווייהו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פירכא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למאן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פירכא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למפרך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התינח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שבראם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רשב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 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גרסינן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אסמכתא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רבנו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חננאל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מהדורת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מכון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עג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ואסיקנא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רבעי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שבעת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המינין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ולאחריהם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לאחריהם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ולפניהם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וחומר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רבעי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גידולי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קרקע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טעונין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ושאר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סברא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שיטעום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שיברך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תוספות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החסיד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מהדורת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זקש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אפקיה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ובמקצתן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>
          <w:i w:val="1"/>
        </w:rPr>
      </w:pPr>
      <w:r w:rsidDel="00000000" w:rsidR="00000000" w:rsidRPr="00000000">
        <w:rPr>
          <w:i w:val="1"/>
          <w:rtl w:val="1"/>
        </w:rPr>
        <w:t xml:space="preserve">מה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משמעות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החלוקה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הר</w:t>
      </w:r>
      <w:r w:rsidDel="00000000" w:rsidR="00000000" w:rsidRPr="00000000">
        <w:rPr>
          <w:i w:val="1"/>
          <w:rtl w:val="1"/>
        </w:rPr>
        <w:t xml:space="preserve">"</w:t>
      </w:r>
      <w:r w:rsidDel="00000000" w:rsidR="00000000" w:rsidRPr="00000000">
        <w:rPr>
          <w:i w:val="1"/>
          <w:rtl w:val="1"/>
        </w:rPr>
        <w:t xml:space="preserve">ח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ודעימיה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בין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שבעת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המינים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או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גידולי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קרקע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לבין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כל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הנאה</w:t>
      </w:r>
      <w:r w:rsidDel="00000000" w:rsidR="00000000" w:rsidRPr="00000000">
        <w:rPr>
          <w:i w:val="1"/>
          <w:rtl w:val="1"/>
        </w:rPr>
        <w:t xml:space="preserve">?</w:t>
      </w:r>
    </w:p>
    <w:p w:rsidR="00000000" w:rsidDel="00000000" w:rsidP="00000000" w:rsidRDefault="00000000" w:rsidRPr="00000000" w14:paraId="00000031">
      <w:pPr>
        <w:pStyle w:val="Heading2"/>
        <w:bidi w:val="1"/>
        <w:rPr/>
      </w:pPr>
      <w:bookmarkStart w:colFirst="0" w:colLast="0" w:name="_4d34og8" w:id="8"/>
      <w:bookmarkEnd w:id="8"/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לאיסור</w:t>
      </w:r>
      <w:r w:rsidDel="00000000" w:rsidR="00000000" w:rsidRPr="00000000">
        <w:rPr>
          <w:rtl w:val="1"/>
        </w:rPr>
        <w:t xml:space="preserve"> ("</w:t>
      </w:r>
      <w:r w:rsidDel="00000000" w:rsidR="00000000" w:rsidRPr="00000000">
        <w:rPr>
          <w:rtl w:val="1"/>
        </w:rPr>
        <w:t xml:space="preserve">מתיר</w:t>
      </w:r>
      <w:r w:rsidDel="00000000" w:rsidR="00000000" w:rsidRPr="00000000">
        <w:rPr>
          <w:rtl w:val="1"/>
        </w:rPr>
        <w:t xml:space="preserve">")</w:t>
      </w:r>
    </w:p>
    <w:p w:rsidR="00000000" w:rsidDel="00000000" w:rsidP="00000000" w:rsidRDefault="00000000" w:rsidRPr="00000000" w14:paraId="00000032">
      <w:pPr>
        <w:pStyle w:val="Heading3"/>
        <w:bidi w:val="1"/>
        <w:rPr/>
      </w:pPr>
      <w:bookmarkStart w:colFirst="0" w:colLast="0" w:name="_2s8eyo1" w:id="9"/>
      <w:bookmarkEnd w:id="9"/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</w:t>
      </w:r>
    </w:p>
    <w:p w:rsidR="00000000" w:rsidDel="00000000" w:rsidP="00000000" w:rsidRDefault="00000000" w:rsidRPr="00000000" w14:paraId="00000033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יב</w:t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נסתפק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סופרים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035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שנסתפק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סעודתו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ומברך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7">
      <w:pPr>
        <w:pStyle w:val="Heading3"/>
        <w:bidi w:val="1"/>
        <w:rPr/>
      </w:pPr>
      <w:bookmarkStart w:colFirst="0" w:colLast="0" w:name="_17dp8vu" w:id="10"/>
      <w:bookmarkEnd w:id="10"/>
      <w:r w:rsidDel="00000000" w:rsidR="00000000" w:rsidRPr="00000000">
        <w:rPr>
          <w:rtl w:val="1"/>
        </w:rPr>
        <w:t xml:space="preserve">בקיעים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בתפיסת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בעקבות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סוגיין</w:t>
      </w:r>
    </w:p>
    <w:p w:rsidR="00000000" w:rsidDel="00000000" w:rsidP="00000000" w:rsidRDefault="00000000" w:rsidRPr="00000000" w14:paraId="00000038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חידושי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הריטב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תמהני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כנהנה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מקדשי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קדשים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A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הבחירה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מאירי</w:t>
      </w:r>
      <w:r w:rsidDel="00000000" w:rsidR="00000000" w:rsidRPr="00000000">
        <w:rPr>
          <w:b w:val="1"/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אכלת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שסמכוה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המקרא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שעשאוהו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כמועל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בהקדש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המינים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b w:val="1"/>
          <w:rtl w:val="1"/>
        </w:rPr>
        <w:t xml:space="preserve">ספר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u w:val="single"/>
          <w:rtl w:val="1"/>
        </w:rPr>
        <w:t xml:space="preserve">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אסמכוה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רבנן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אקרא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דקדש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הלולים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כאלו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נהנה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מקדשי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שמים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הארץ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ומלואה</w:t>
      </w:r>
      <w:r w:rsidDel="00000000" w:rsidR="00000000" w:rsidRPr="00000000">
        <w:rPr>
          <w:u w:val="single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ומברך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ומברך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03D">
      <w:pPr>
        <w:pStyle w:val="Heading3"/>
        <w:bidi w:val="1"/>
        <w:rPr/>
      </w:pPr>
      <w:bookmarkStart w:colFirst="0" w:colLast="0" w:name="_3rdcrjn" w:id="11"/>
      <w:bookmarkEnd w:id="11"/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רעק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והמהרש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3E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מהרש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חידושי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פסחים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מעכבות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0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גליון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בתוספות</w:t>
      </w:r>
      <w:r w:rsidDel="00000000" w:rsidR="00000000" w:rsidRPr="00000000">
        <w:rPr>
          <w:b w:val="1"/>
          <w:vertAlign w:val="superscript"/>
        </w:rPr>
        <w:footnoteReference w:customMarkFollows="0" w:id="2"/>
      </w: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1"/>
        </w:rPr>
        <w:t xml:space="preserve">לחומרא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לקולא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ובמג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דכבר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להודיעך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מעכבות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לשתות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העוזר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דנפשיה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42">
      <w:pPr>
        <w:pStyle w:val="Heading3"/>
        <w:bidi w:val="1"/>
        <w:rPr/>
      </w:pPr>
      <w:bookmarkStart w:colFirst="0" w:colLast="0" w:name="_26in1rg" w:id="12"/>
      <w:bookmarkEnd w:id="12"/>
      <w:r w:rsidDel="00000000" w:rsidR="00000000" w:rsidRPr="00000000">
        <w:rPr>
          <w:rtl w:val="1"/>
        </w:rPr>
        <w:t xml:space="preserve">הלכה</w:t>
      </w:r>
    </w:p>
    <w:p w:rsidR="00000000" w:rsidDel="00000000" w:rsidP="00000000" w:rsidRDefault="00000000" w:rsidRPr="00000000" w14:paraId="00000043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שולחן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ערוך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אורח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הפירות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סעיף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נסתפק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סעיף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ולהריח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הערות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שמצדד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יאכל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וסיים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יהרהר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ויאכל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הנהנין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ומרן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3"/>
        <w:bidi w:val="1"/>
        <w:rPr/>
      </w:pPr>
      <w:bookmarkStart w:colFirst="0" w:colLast="0" w:name="_lnxbz9" w:id="13"/>
      <w:bookmarkEnd w:id="13"/>
      <w:r w:rsidDel="00000000" w:rsidR="00000000" w:rsidRPr="00000000">
        <w:rPr>
          <w:rtl w:val="1"/>
        </w:rPr>
        <w:t xml:space="preserve">אחרונים</w:t>
      </w:r>
    </w:p>
    <w:p w:rsidR="00000000" w:rsidDel="00000000" w:rsidP="00000000" w:rsidRDefault="00000000" w:rsidRPr="00000000" w14:paraId="00000046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רשימות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שיעורים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רי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סולובייצ</w:t>
      </w:r>
      <w:r w:rsidDel="00000000" w:rsidR="00000000" w:rsidRPr="00000000">
        <w:rPr>
          <w:b w:val="1"/>
          <w:rtl w:val="1"/>
        </w:rPr>
        <w:t xml:space="preserve">'</w:t>
      </w:r>
      <w:r w:rsidDel="00000000" w:rsidR="00000000" w:rsidRPr="00000000">
        <w:rPr>
          <w:b w:val="1"/>
          <w:rtl w:val="1"/>
        </w:rPr>
        <w:t xml:space="preserve">יק</w:t>
      </w:r>
      <w:r w:rsidDel="00000000" w:rsidR="00000000" w:rsidRPr="00000000">
        <w:rPr>
          <w:b w:val="1"/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להסתפק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הנהנין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השבח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בסוגיין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יעויין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"</w:t>
      </w:r>
      <w:r w:rsidDel="00000000" w:rsidR="00000000" w:rsidRPr="00000000">
        <w:rPr>
          <w:rtl w:val="1"/>
        </w:rPr>
        <w:t xml:space="preserve">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סעודתו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ואידחי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אידחי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ואידחי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אידחי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האכילה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ומסקינן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ואידחי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אידחי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b w:val="1"/>
          <w:rtl w:val="1"/>
        </w:rPr>
        <w:t xml:space="preserve">ונראה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דבאמת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דינים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הנהנין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מתיר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ודין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שבח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בדף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לחומרא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הנהנין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vertAlign w:val="superscript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rPr>
          <w:u w:val="single"/>
        </w:rPr>
      </w:pP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שטעונים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ולאחריהם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שיטעום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הילולים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באכילתו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כשתאכלנו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שבח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רבעי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האכילה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וכדילפינן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מהילולים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באכילתו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דהילולים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דהילולים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באכילת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רבעי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ומנלן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באכילת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האכילה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בסוגיין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דכמו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דברכהמ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האכילה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האכילה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האכילה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אמנם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נאמר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שיסוד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ברכת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הנהנין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מדין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מתיר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כדי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להתיר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הנאה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העולם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צ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שייך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ללמוד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דמברך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מדין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מתיר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קודם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אכילה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שמברך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ברכת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הודאה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ושבח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לאחר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האכילה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דשני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חיובים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שונים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הם</w:t>
      </w:r>
      <w:r w:rsidDel="00000000" w:rsidR="00000000" w:rsidRPr="00000000">
        <w:rPr>
          <w:u w:val="single"/>
          <w:rtl w:val="1"/>
        </w:rPr>
        <w:t xml:space="preserve">.</w:t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דלמסקנת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</w:t>
      </w:r>
      <w:r w:rsidDel="00000000" w:rsidR="00000000" w:rsidRPr="00000000">
        <w:rPr>
          <w:rtl w:val="1"/>
        </w:rPr>
        <w:t xml:space="preserve">' "</w:t>
      </w:r>
      <w:r w:rsidDel="00000000" w:rsidR="00000000" w:rsidRPr="00000000">
        <w:rPr>
          <w:rtl w:val="1"/>
        </w:rPr>
        <w:t xml:space="preserve">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b w:val="1"/>
          <w:rtl w:val="1"/>
        </w:rPr>
        <w:t xml:space="preserve">חל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איסור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למסקנא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והודאה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דאידחי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מעיקרא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4C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מנחת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חלק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והנלענ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ומפורסם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המהרש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להודיעך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ספק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לקולא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המצוות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מעכבות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משא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הנהנין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דאסור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לאכול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שפיר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לחזור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ולברך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וחזינן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וכמאמרם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ונמצא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דלדידהו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עיקר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הברכה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להתיר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ההנאה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אולם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' "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ומברך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אצרכוהו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שיטבול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ומצינן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דפטור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המצוות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המוציא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המזון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בנטילת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בנטילה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מוזהר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המצוות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דפטור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רשאי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לעבור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איסורין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4E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וכיון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דלדעת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המהרש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שעיקר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הברכה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להתיר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האיסור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ודאי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דעיקר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הנהנין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דחייבו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חכמים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להודות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ולהלל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קודם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ושותה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וחיוב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סברא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וכדמצינן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ההבדל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ותפילין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משא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הנהנין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אלמוהו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לחיוב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הברכה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ואמרו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כאילו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גזל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וכדאיתא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דמחוייב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האכילה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ומשו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מסתעף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.... </w:t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1">
      <w:pPr>
        <w:pStyle w:val="Heading3"/>
        <w:bidi w:val="1"/>
        <w:rPr/>
      </w:pPr>
      <w:bookmarkStart w:colFirst="0" w:colLast="0" w:name="_35nkun2" w:id="14"/>
      <w:bookmarkEnd w:id="14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גוזל</w:t>
      </w:r>
      <w:r w:rsidDel="00000000" w:rsidR="00000000" w:rsidRPr="00000000">
        <w:rPr>
          <w:rtl w:val="1"/>
        </w:rPr>
        <w:t xml:space="preserve">" –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b w:val="1"/>
          <w:rtl w:val="1"/>
        </w:rPr>
        <w:t xml:space="preserve">רש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גוזל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שכשחטאו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b w:val="1"/>
          <w:rtl w:val="1"/>
        </w:rPr>
        <w:t xml:space="preserve">מהרש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חידושי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אגדות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. :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וענינו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b w:val="1"/>
          <w:rtl w:val="1"/>
        </w:rPr>
        <w:t xml:space="preserve">שפת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ויושבי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... </w:t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כפשוטו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ושנכיר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ולשבחו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השחתה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בהבריאה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לירבעם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טובה</w:t>
      </w:r>
      <w:r w:rsidDel="00000000" w:rsidR="00000000" w:rsidRPr="00000000">
        <w:rPr>
          <w:rtl w:val="1"/>
        </w:rPr>
        <w:t xml:space="preserve">... </w:t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תוספתא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כפשוטה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ליברמן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בפניו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פשוטו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משמעו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ישתמש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להנאתו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גרידא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לכבוד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מתירן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בהנאה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ובניגוד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שנהנה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כרחו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נהג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אליעזר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נדרים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').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מפורש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שכטר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מעשיך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כהלל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בשביל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לנקות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יעשה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חובותינו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ובפירוש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'):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גומל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נפשו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חסד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לרחוץ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המרחץ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לגמול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חסד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אכסניא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בגו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ובבבלי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בשביל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ליפות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כגי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אסור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ואינהו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כמאן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סברוה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דתניא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רוחץ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ורגליו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בשביל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למענהו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וצדקו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המפרשים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שאמרו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הברייתא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שלפנינו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</w:p>
  </w:footnote>
  <w:footnote w:id="1"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היחס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הסוגיות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חידושי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הרשב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דאפליגו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תנאי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בברכה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ראשונה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דפת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מהיכא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וכלהו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דהויא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דאורייתא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קיי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מינייהו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שלפניה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דרבנן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וכסתמא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דמתניתין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תוספות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לאתויי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נהמא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ופירש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אלפס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אפשיטא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אזלינן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ואפילו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פתח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בחמרא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וסיים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בשכרא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לחומרא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דצריך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3"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וקציעה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עמדין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סימן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קסז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מהסס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לשאר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המצות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דאינן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מעכבות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הנהנין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אפילו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תימא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מדרבנן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חמורים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סופרים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הללו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כדברי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ועשו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חיזוק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לדבריהם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ביתר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ויתר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עז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עשאוהו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כמועל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בקדשי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וחבר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לאיש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משחית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בודאי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ראוי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להחמיר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בספקה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ספק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לפעמים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שהחמירו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בספקן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באיסור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גדול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כזה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ותדע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העמידו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דקיי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יודע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בעצמו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לאכול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אפילו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דסעודתן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אעפ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נדחין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הנהנין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ואפילו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חברו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רשאי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להוציאו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חביבה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וכמדומה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תשובה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נצחת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ודקמבעיא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בשכח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לפניו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בגמר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לאכול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קמיבעיא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ודאי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מיבעיא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דאפילו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במסופק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גרידא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ופשטוה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לאיסור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דגמר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דהשתא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ודאי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לבטלה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הגמרא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