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תבעיון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נחפשו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מצפוניו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כדמתרגם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איתבליש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אתגלין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מטמרוהי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כשמואל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נבעה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בועה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דייקי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כשמואל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איצטריך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דכוונתן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פטירי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יקניטנו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שייריה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רגל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וליתנייה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שייריה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וליתנייה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בתמין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והאדם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וליתני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ברישא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בסיפא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למחשביה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שדרכן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בישן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ישן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ופשיט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אורחיה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ולטעמיך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דאפקרינהו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! </w:t>
      </w:r>
    </w:p>
    <w:p w:rsidR="00000000" w:rsidDel="00000000" w:rsidP="00000000" w:rsidRDefault="00000000" w:rsidRPr="00000000" w14:paraId="00000006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שבהן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מזקי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דנייחי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דאפקרינהו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עליך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אפקרינהו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דאפקרינהו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תוכיח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ולהזיק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תוכיח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0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נשברה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בחרסית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במתכוין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מתכוין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  <w:br w:type="textWrapping"/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שטינפו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למדנו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דאפקרינהו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אפקרינהו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אושעיא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ונשתברו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ונתקרעו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אדרבה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צלוחיתו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ולטעמיך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תיקשי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גופא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כשהפקירן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צלוחיתו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צלוחיתו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החופר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חריצין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ונעיצין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ספוגין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ולשמואל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משמע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לאתויי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ונעיצין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חריצין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בהדיא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צריכא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וכריכא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דאריך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דקטין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דמרבעא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מערה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דמטללא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מטללי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חריצין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חריצין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רויחא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מתתאי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נעיצין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דרויחי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מתתאי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שחטיה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טרפיה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דקמחא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ואזל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מדרשא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כשירה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אפסדיה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קסבר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איתיביה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הסקילה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סלקא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ולטעמיך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נעביד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ואהבת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לרעך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נגבה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דמינוול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איתיביה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בתוכו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עמוקה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ומעזיבה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מגואי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מגואי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מאבראי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טפי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סבר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מכריסא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לארעא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אריתא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דדלאי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אישתכח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מחבט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מעשרה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מחבט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טפחים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בשיתא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- </w:t>
      </w:r>
      <w:r w:rsidDel="00000000" w:rsidR="00000000" w:rsidRPr="00000000">
        <w:rPr>
          <w:sz w:val="24"/>
          <w:szCs w:val="24"/>
          <w:rtl w:val="1"/>
        </w:rPr>
        <w:t xml:space="preserve">דאיגנדר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לאחריו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אחריו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מלאחריו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להבלו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לחבטו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דפטור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לאחורי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איתיביה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חסדא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נפשך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חבטא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במתהפך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אאפיה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ואתהפיך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אגביה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שהבאיש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לסיועי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נפילה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הכרייה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לאחריו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הכרייה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נתכוין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לכנעני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לנפלים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שמואל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בבורות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בכתלים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דחזא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בכותל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ידעינן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דבתר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צרורות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נינהו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דקאזיל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ומזה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פוטר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מכופרו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מקטליה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מקטליה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מכופרו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דנין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לאפוקי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1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הקדר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ושברה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ונגחו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שנשכו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נפל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מימיו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לתוכו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סיפא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לרבנן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בסתמא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ומציעתא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זירא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תברא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אמינא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ושכיב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שמעתא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באפרזתא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מיתיבי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לטחון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דאוקימנא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ודקארי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מתניתין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שהוחלקה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דקתני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ואידך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והתריז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קרמית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חנק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דנפשיה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, [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].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ונגחו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הכניס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טרפון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משונה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ברחא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אדרב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קביל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לטחון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ואכלתן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הוזקה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חייבת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לטחון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צניעותא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מסלקי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צניעותא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מרוותא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מסלקי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הלכך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נטירותא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אהבה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העדאה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עומדת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שמאל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מועדת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סבירא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ומועדת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משכחת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2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האצטדין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']. </w:t>
      </w:r>
      <w:r w:rsidDel="00000000" w:rsidR="00000000" w:rsidRPr="00000000">
        <w:rPr>
          <w:sz w:val="24"/>
          <w:szCs w:val="24"/>
          <w:rtl w:val="1"/>
        </w:rPr>
        <w:t xml:space="preserve">איבעיא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מזבח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ושמואל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פסול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מיתיבי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הנרבע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הבקר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הנעבד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הצאן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המוקצה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הצאן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הנוגח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ברובע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מיהת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הלכתא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לקרבן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לקטלא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מסתברא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כרצון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לקטלא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נוגח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רובע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ברביעה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ואלא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אביי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דאתיוה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וקטלוה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וקטלה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ברביעה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קרן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כוונתו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פליגי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ברגל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שדרסה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לאביי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כוותיה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האיצטדין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מזבח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כמעושה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בהווה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02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למסעדו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וחייבין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2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</w:t>
      </w:r>
    </w:p>
    <w:p w:rsidR="00000000" w:rsidDel="00000000" w:rsidP="00000000" w:rsidRDefault="00000000" w:rsidRPr="00000000" w14:paraId="0000002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[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למסעדו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ובהשגות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מפסידים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תיובתא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דאורחי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וכפירש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כקושיית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להסתפק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פירושו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דבטל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ספיקא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ומסולק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דפליגי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כרחך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המחלוקת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ופטורו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נפרדים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דהנאמנות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כיילינהו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ביחד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פלוגתא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בהשגה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בתוס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מוכרח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איירינן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דנתקיימה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מתישבא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כפשטה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בשבועה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בחריקיה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וכדחזינן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דדיינינן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ומתחייבין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בנאנס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לכו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הפלוגתא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דאיירי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האופנים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ובהכי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מדוייק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עסקינן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ניחא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שאלה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ופקדון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שכירות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נפקותא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גרועי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גרעיה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לברזיליה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מפקדי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לדקדק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מאומה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המגיד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דבפשוטה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דקיימא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חפץ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מבוארת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דלעיל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לשיטת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מתפרשא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תביעת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רצוני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פקדוני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דרישא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דנפטרו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מגזירת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הכתוב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דדרשינן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חסרון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נגיחה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יתכן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שיעור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לאוקמי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שידע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אשמעינן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שהוחזק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כדיניה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פחותה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להשמיענו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היתירה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והדרא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לדוכתה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ומהיכי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וברשותם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ששאלוהו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ותשמישם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לתבעם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לקחוהו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דמיפטרי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למידק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נקט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נ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חוזרין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רמיא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ומיושבים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גווני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שמסרוהו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שיטות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שכתבנו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מינייהו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ולכאורה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מסירתן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לפוטרן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נראה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' [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ת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שאילי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דיסוד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איסתלקו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בחזקת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בשלימות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ופלגא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ככולא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חילוק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שותפין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ומדחזינן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והשואל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עצמו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נשארין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בחיובן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טעמי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חדא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שמתחייבין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ואדרבה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ובמסירתו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ולהכי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להסתלק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שמירה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דהשומרין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מיני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לטעמי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דס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פקע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דנכנסו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צריכין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וממילא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בתשלומי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נוגע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היטב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דבמסרו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נפטרין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התשלומין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מהפקעת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5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37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התליע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שהגמלים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פושע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לגמלים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שהתליע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התליע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יצחק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בהלכותיו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הסוגיא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שהסכימו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בפשיעה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וסופו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עיון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38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3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מסר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בחמשתן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שפשע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בשארן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הנשארין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</w:p>
    <w:p w:rsidR="00000000" w:rsidDel="00000000" w:rsidP="00000000" w:rsidRDefault="00000000" w:rsidRPr="00000000" w14:paraId="0000003D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רעהו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מיוחדים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שיתפוש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3E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נכסים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המיוחדין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למעוטי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למעוטי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רודפין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מפרש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במתניתא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פרט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לנכסי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אילימא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דהפקר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דהפקר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לתורא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דידן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ליזיל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וליתיה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בשקדם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רבינא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למעוטי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תניא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אפי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והועד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בבעליו</w:t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והמית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בעינן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יסקל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!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כאחד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שיטה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מקובצת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4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רבינא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למעוטי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דאף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קטלא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הפקירו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הקדישו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העמדה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וחצו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כספו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בדאית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תשלומין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מיירי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4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שבנכסיו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מגופו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בשנכנסה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והזיקתהו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והזיקתהו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נכנסת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לרשותי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מפורש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'+ </w:t>
      </w:r>
      <w:r w:rsidDel="00000000" w:rsidR="00000000" w:rsidRPr="00000000">
        <w:rPr>
          <w:sz w:val="24"/>
          <w:szCs w:val="24"/>
          <w:rtl w:val="1"/>
        </w:rPr>
        <w:t xml:space="preserve">ושלח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גניבה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</w:p>
    <w:p w:rsidR="00000000" w:rsidDel="00000000" w:rsidP="00000000" w:rsidRDefault="00000000" w:rsidRPr="00000000" w14:paraId="0000004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שגנב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יכעיסנו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באלף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דינר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נשתחרר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הכפל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4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שמשחקין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ומלמדין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שיגיחו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</w:t>
      </w:r>
      <w:r w:rsidDel="00000000" w:rsidR="00000000" w:rsidRPr="00000000">
        <w:rPr>
          <w:sz w:val="24"/>
          <w:szCs w:val="24"/>
          <w:rtl w:val="1"/>
        </w:rPr>
        <w:t xml:space="preserve">' +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+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יגח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שיגיחוהו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שוורים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שמשחקין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לשופרות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/ (</w:t>
      </w:r>
      <w:r w:rsidDel="00000000" w:rsidR="00000000" w:rsidRPr="00000000">
        <w:rPr>
          <w:sz w:val="24"/>
          <w:szCs w:val="24"/>
          <w:rtl w:val="1"/>
        </w:rPr>
        <w:t xml:space="preserve">לז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למעלה</w:t>
      </w:r>
      <w:r w:rsidDel="00000000" w:rsidR="00000000" w:rsidRPr="00000000">
        <w:rPr>
          <w:sz w:val="24"/>
          <w:szCs w:val="24"/>
          <w:rtl w:val="1"/>
        </w:rPr>
        <w:t xml:space="preserve"> /</w:t>
      </w: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/ (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משסה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4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יט</w:t>
      </w:r>
    </w:p>
    <w:p w:rsidR="00000000" w:rsidDel="00000000" w:rsidP="00000000" w:rsidRDefault="00000000" w:rsidRPr="00000000" w14:paraId="0000004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המשסה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נושך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להניחו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שסהו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. +/</w:t>
      </w:r>
      <w:r w:rsidDel="00000000" w:rsidR="00000000" w:rsidRPr="00000000">
        <w:rPr>
          <w:sz w:val="24"/>
          <w:szCs w:val="24"/>
          <w:rtl w:val="1"/>
        </w:rPr>
        <w:t xml:space="preserve">השגת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/ </w:t>
      </w:r>
      <w:r w:rsidDel="00000000" w:rsidR="00000000" w:rsidRPr="00000000">
        <w:rPr>
          <w:sz w:val="24"/>
          <w:szCs w:val="24"/>
          <w:rtl w:val="1"/>
        </w:rPr>
        <w:t xml:space="preserve">ובעל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.+ </w:t>
      </w:r>
    </w:p>
    <w:p w:rsidR="00000000" w:rsidDel="00000000" w:rsidP="00000000" w:rsidRDefault="00000000" w:rsidRPr="00000000" w14:paraId="00000050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רמב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5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שקשרו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במוסרה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והזיק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ישמרנו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מתחלתו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כגון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הלוכו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מלשלם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שחבתי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בשמירתו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שנתחייבתי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לשומרו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וזימנתי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שמרתיו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הכשרתי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להכשיר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ולתקן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מורי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9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דנזקין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A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C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המעמיד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ורגל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בעירה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כדידיה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פשתנו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הזיקא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דפטרינן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עבידא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דאכלה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</w:t>
      </w:r>
      <w:r w:rsidDel="00000000" w:rsidR="00000000" w:rsidRPr="00000000">
        <w:rPr>
          <w:sz w:val="24"/>
          <w:szCs w:val="24"/>
          <w:rtl w:val="1"/>
        </w:rPr>
        <w:t xml:space="preserve">:) </w:t>
      </w:r>
      <w:r w:rsidDel="00000000" w:rsidR="00000000" w:rsidRPr="00000000">
        <w:rPr>
          <w:sz w:val="24"/>
          <w:szCs w:val="24"/>
          <w:rtl w:val="1"/>
        </w:rPr>
        <w:t xml:space="preserve">דא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משתמע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דוכתא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ומעמידה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עלייהו</w:t>
      </w:r>
      <w:r w:rsidDel="00000000" w:rsidR="00000000" w:rsidRPr="00000000">
        <w:rPr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D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5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תולדה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מוליכה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0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והוה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לאסוקי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אדעתיה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חדושי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63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שתופסו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ופעמים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תופסו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התקלה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שמוליכו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ומזיק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שהניחן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שמצויין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ליפול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66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בחבירו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כדקתני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מדלא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דאמרינן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לקמן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ודף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.) </w:t>
      </w:r>
      <w:r w:rsidDel="00000000" w:rsidR="00000000" w:rsidRPr="00000000">
        <w:rPr>
          <w:sz w:val="24"/>
          <w:szCs w:val="24"/>
          <w:rtl w:val="1"/>
        </w:rPr>
        <w:t xml:space="preserve">גבי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וסכינו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לדעתו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שכח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מעורב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ממונך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ושמירתו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67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