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שיעור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חורף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תשפ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</w:t>
      </w:r>
    </w:p>
    <w:p w:rsidR="00000000" w:rsidDel="00000000" w:rsidP="00000000" w:rsidRDefault="00000000" w:rsidRPr="00000000" w14:paraId="00000002">
      <w:pPr>
        <w:pStyle w:val="Heading1"/>
        <w:bidi w:val="1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1"/>
        </w:rPr>
        <w:t xml:space="preserve">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</w:p>
    <w:p w:rsidR="00000000" w:rsidDel="00000000" w:rsidP="00000000" w:rsidRDefault="00000000" w:rsidRPr="00000000" w14:paraId="00000003">
      <w:pPr>
        <w:bidi w:val="1"/>
        <w:jc w:val="center"/>
        <w:rPr/>
      </w:pPr>
      <w:r w:rsidDel="00000000" w:rsidR="00000000" w:rsidRPr="00000000">
        <w:rPr>
          <w:rtl w:val="1"/>
        </w:rPr>
        <w:t xml:space="preserve">והשפעתם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  <w:rtl w:val="1"/>
        </w:rPr>
        <w:t xml:space="preserve">תוכן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מבוא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טעמי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סקילת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שור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תם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בהם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בכדי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להסביר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תשלומי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שור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תם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)?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טעם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התשלום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מגופו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tl w:val="0"/>
              </w:rPr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ומכרו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השור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החי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וחצו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כספו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-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מחלוקת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רבי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מאיר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ורבי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יהודה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(/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רבי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עקיבא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tl w:val="0"/>
              </w:rPr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הוחלט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השור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"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יושם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השור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–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מחלוקת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רבי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עקיבא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ורבי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ישמעאל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היחס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"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הוחלט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השור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לבין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הכרעת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הבבלי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פלגא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נזקא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קנסא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תפיסת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שותפות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ייחודית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לשור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תם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מלמדת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עקרון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כללי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בנזקי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ממון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הרחבה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מחלוקת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הראשונים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שבח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נבילה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bidi w:val="1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E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bidi w:val="1"/>
        <w:rPr/>
      </w:pPr>
      <w:bookmarkStart w:colFirst="0" w:colLast="0" w:name="_1fob9te" w:id="2"/>
      <w:bookmarkEnd w:id="2"/>
      <w:r w:rsidDel="00000000" w:rsidR="00000000" w:rsidRPr="00000000">
        <w:rPr>
          <w:rtl w:val="1"/>
        </w:rPr>
        <w:t xml:space="preserve">מבוא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טעמי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)?</w:t>
      </w:r>
    </w:p>
    <w:tbl>
      <w:tblPr>
        <w:tblStyle w:val="Table1"/>
        <w:bidiVisual w:val="1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8"/>
        <w:gridCol w:w="4148"/>
        <w:tblGridChange w:id="0">
          <w:tblGrid>
            <w:gridCol w:w="4148"/>
            <w:gridCol w:w="41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שמות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פרק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כא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כח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כט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ִֽ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־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ג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ַּ֨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ׁ֥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־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ִ֛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ׁ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֥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־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ָּׁ֖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ֵ֑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ֵ֜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ּׁ֗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ֹ֤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֙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־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ָׂ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ַ֥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ּׁ֖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ִֽ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שמות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פרק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כא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לה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לו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כ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ִֽ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־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ג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ֹּ֧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ף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ֽׁ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־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ִ֛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יש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־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ׁ֥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ֵ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ֵ֖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הו</w:t>
            </w:r>
            <w:r w:rsidDel="00000000" w:rsidR="00000000" w:rsidRPr="00000000">
              <w:rPr>
                <w:sz w:val="20"/>
                <w:szCs w:val="20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ֵ֑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ָ֨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־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ּׁ֤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֙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֣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־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ַ֥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־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ֵּ֖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ֶֽ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ֽ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 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תנחומא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שנכתבו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נכתבו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שיכתבו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חקותי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שעטנז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ואכילת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היבמה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הנסקל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ועגלה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ערופה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וצפורי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המשתלח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חקקתים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נבוכים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בקבוצה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החמישית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שמנינו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להסיר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להמריץ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מחייבים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הנגרם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רכושו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ממעשהו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להקפיד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ולשמור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חויבנו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בנזקים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שבהמותינו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שנשמור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והריגת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הבהמה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הורגת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שמלעיזים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המורדים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לבעליה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נאסרה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שבעליה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הבהמה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יפליג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תהרוג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חורין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יפסיד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מכילתא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ישמעאל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עגלה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מסלקת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השכינה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הנסקל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ומסלק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השכינה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7dp8vu" w:id="4"/>
      <w:bookmarkEnd w:id="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אדרשנו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כמשמעה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בחיה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שתענש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שתקבל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שכר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שתטרוף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תטרף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גזרת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סקול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ואיננו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להעניש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בממון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מכילתא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דרבי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שמעון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בר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יוחאי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פרק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יח</w:t>
      </w:r>
      <w:r w:rsidDel="00000000" w:rsidR="00000000" w:rsidRPr="00000000">
        <w:rPr>
          <w:b w:val="1"/>
          <w:sz w:val="20"/>
          <w:szCs w:val="20"/>
          <w:rtl w:val="1"/>
        </w:rPr>
        <w:t xml:space="preserve"> : </w:t>
      </w:r>
      <w:r w:rsidDel="00000000" w:rsidR="00000000" w:rsidRPr="00000000">
        <w:rPr>
          <w:sz w:val="20"/>
          <w:szCs w:val="20"/>
          <w:rtl w:val="1"/>
        </w:rPr>
        <w:t xml:space="preserve">וגם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מקומו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יבא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בשלום</w:t>
      </w:r>
      <w:r w:rsidDel="00000000" w:rsidR="00000000" w:rsidRPr="00000000">
        <w:rPr>
          <w:sz w:val="20"/>
          <w:szCs w:val="20"/>
          <w:rtl w:val="1"/>
        </w:rPr>
        <w:t xml:space="preserve">... </w:t>
      </w:r>
      <w:r w:rsidDel="00000000" w:rsidR="00000000" w:rsidRPr="00000000">
        <w:rPr>
          <w:sz w:val="20"/>
          <w:szCs w:val="20"/>
          <w:rtl w:val="1"/>
        </w:rPr>
        <w:t xml:space="preserve">ר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סימאי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אומר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לאמתו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נראה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כמטיל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קנאה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הבריות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ואינו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נותן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ביניהן</w:t>
      </w:r>
      <w:r w:rsidDel="00000000" w:rsidR="00000000" w:rsidRPr="00000000">
        <w:rPr>
          <w:sz w:val="20"/>
          <w:szCs w:val="20"/>
          <w:rtl w:val="1"/>
        </w:rPr>
        <w:t xml:space="preserve">... </w:t>
      </w:r>
      <w:r w:rsidDel="00000000" w:rsidR="00000000" w:rsidRPr="00000000">
        <w:rPr>
          <w:sz w:val="20"/>
          <w:szCs w:val="20"/>
          <w:rtl w:val="1"/>
        </w:rPr>
        <w:t xml:space="preserve">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לבעלי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דינין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ומנין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ישראל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ידין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עמך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בצדק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וענייך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במשפט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תה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עב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מה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כת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אחריו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ישאו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הרים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לעם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b w:val="1"/>
          <w:sz w:val="20"/>
          <w:szCs w:val="20"/>
          <w:rtl w:val="1"/>
        </w:rPr>
        <w:t xml:space="preserve">אין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לי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אלא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בני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אדם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בלבד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מנין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שהמשפט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שלום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אף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לבהמות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ולחיות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ולכל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בעלי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חיים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ושפט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בצדק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דלים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והוכיח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במישור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לענוי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ארץ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וג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והיה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צדק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אזור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מתניו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כת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אחריו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וגר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זאב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כבש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ונמר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גדי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ירבץ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וג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ירעו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ישחיתו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קדשי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מלאה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הארץ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דעה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sz w:val="20"/>
          <w:szCs w:val="20"/>
          <w:rtl w:val="1"/>
        </w:rPr>
        <w:t xml:space="preserve">' (</w:t>
      </w:r>
      <w:r w:rsidDel="00000000" w:rsidR="00000000" w:rsidRPr="00000000">
        <w:rPr>
          <w:sz w:val="20"/>
          <w:szCs w:val="20"/>
          <w:rtl w:val="1"/>
        </w:rPr>
        <w:t xml:space="preserve">ישע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יא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ו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ט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b w:val="1"/>
          <w:sz w:val="20"/>
          <w:szCs w:val="20"/>
          <w:rtl w:val="1"/>
        </w:rPr>
        <w:t xml:space="preserve">דעה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זו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היא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המשפט</w:t>
      </w:r>
      <w:r w:rsidDel="00000000" w:rsidR="00000000" w:rsidRPr="00000000">
        <w:rPr>
          <w:sz w:val="20"/>
          <w:szCs w:val="20"/>
          <w:rtl w:val="0"/>
        </w:rPr>
        <w:t xml:space="preserve">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האם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טעמי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סקילת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שור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יכולים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להוות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פתח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להבנת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תשלומי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שור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תם</w:t>
      </w:r>
      <w:r w:rsidDel="00000000" w:rsidR="00000000" w:rsidRPr="00000000">
        <w:rPr>
          <w:i w:val="1"/>
          <w:rtl w:val="1"/>
        </w:rPr>
        <w:t xml:space="preserve">?</w:t>
      </w:r>
      <w:r w:rsidDel="00000000" w:rsidR="00000000" w:rsidRPr="00000000">
        <w:rPr>
          <w:i w:val="1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גוסטמן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קונטרסי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שיעורים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טז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דבתם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דחיוב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שורו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bidi w:val="1"/>
        <w:rPr/>
      </w:pPr>
      <w:bookmarkStart w:colFirst="0" w:colLast="0" w:name="_2et92p0" w:id="5"/>
      <w:bookmarkEnd w:id="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</w:p>
    <w:p w:rsidR="00000000" w:rsidDel="00000000" w:rsidP="00000000" w:rsidRDefault="00000000" w:rsidRPr="00000000" w14:paraId="0000001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חזקוני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מקובצת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אפוטרופוס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דאם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גופו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חצי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משתלם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העלייה</w:t>
      </w:r>
    </w:p>
    <w:p w:rsidR="00000000" w:rsidDel="00000000" w:rsidP="00000000" w:rsidRDefault="00000000" w:rsidRPr="00000000" w14:paraId="00000020">
      <w:pPr>
        <w:pStyle w:val="Heading3"/>
        <w:bidi w:val="1"/>
        <w:rPr/>
      </w:pPr>
      <w:bookmarkStart w:colFirst="0" w:colLast="0" w:name="_tyjcwt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(/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02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מכילתא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ישמעאל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מסכתא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דנזיקין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(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';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עקיבא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יחצון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בנבלתו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מכילתא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]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יהודה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מאיר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 &lt;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&gt;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2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ברייתא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לד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שפחתו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מחצין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בחי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סוגיית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הבבלי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בינייהו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חמור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ממועד</w:t>
      </w:r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להחמיר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נבילה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בשבחא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בשבחא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והתורה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ומכרו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כספו</w:t>
      </w:r>
      <w:r w:rsidDel="00000000" w:rsidR="00000000" w:rsidRPr="00000000">
        <w:rPr>
          <w:b w:val="1"/>
          <w:rtl w:val="1"/>
        </w:rPr>
        <w:t xml:space="preserve">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b w:val="1"/>
          <w:rtl w:val="1"/>
        </w:rPr>
        <w:t xml:space="preserve">אית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פחת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שפחתה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מחצין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בחי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האם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שיטתו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יהודה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מתאימה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לשיטתו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בשמירה</w:t>
      </w:r>
      <w:r w:rsidDel="00000000" w:rsidR="00000000" w:rsidRPr="00000000">
        <w:rPr>
          <w:i w:val="1"/>
          <w:rtl w:val="1"/>
        </w:rPr>
        <w:t xml:space="preserve">?</w:t>
      </w:r>
      <w:r w:rsidDel="00000000" w:rsidR="00000000" w:rsidRPr="00000000">
        <w:rPr>
          <w:i w:val="1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bidi w:val="1"/>
        <w:rPr/>
      </w:pPr>
      <w:bookmarkStart w:colFirst="0" w:colLast="0" w:name="_3dy6vkm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קמיפלגי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וזוזי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דמסיק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שותפי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וקמיפלגי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הקדישו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תלמוד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בבלי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מסכת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בבא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קמא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דף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לג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עמוד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כמיניה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לרידיא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אפותיקי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אפותיקי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אפותיקי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הקדישו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מוקדש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והקדישו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הקדישו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הקדישו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פדיון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הקדישו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הקדישו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קדמו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והגביהו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הקדישו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קדמו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והגביהו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לרדיא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הקדישו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לרדיא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שחטו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מבשריה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שיזבי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דשקלי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37">
      <w:pPr>
        <w:bidi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ההבדלים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בין</w:t>
      </w:r>
      <w:r w:rsidDel="00000000" w:rsidR="00000000" w:rsidRPr="00000000">
        <w:rPr>
          <w:b w:val="1"/>
          <w:i w:val="1"/>
          <w:rtl w:val="1"/>
        </w:rPr>
        <w:t xml:space="preserve"> "</w:t>
      </w:r>
      <w:r w:rsidDel="00000000" w:rsidR="00000000" w:rsidRPr="00000000">
        <w:rPr>
          <w:b w:val="1"/>
          <w:i w:val="1"/>
          <w:rtl w:val="1"/>
        </w:rPr>
        <w:t xml:space="preserve">הוחלט</w:t>
      </w:r>
      <w:r w:rsidDel="00000000" w:rsidR="00000000" w:rsidRPr="00000000">
        <w:rPr>
          <w:b w:val="1"/>
          <w:i w:val="1"/>
          <w:rtl w:val="1"/>
        </w:rPr>
        <w:t xml:space="preserve">" </w:t>
      </w:r>
      <w:r w:rsidDel="00000000" w:rsidR="00000000" w:rsidRPr="00000000">
        <w:rPr>
          <w:b w:val="1"/>
          <w:i w:val="1"/>
          <w:rtl w:val="1"/>
        </w:rPr>
        <w:t xml:space="preserve">ל</w:t>
      </w:r>
      <w:r w:rsidDel="00000000" w:rsidR="00000000" w:rsidRPr="00000000">
        <w:rPr>
          <w:b w:val="1"/>
          <w:i w:val="1"/>
          <w:rtl w:val="1"/>
        </w:rPr>
        <w:t xml:space="preserve">"</w:t>
      </w:r>
      <w:r w:rsidDel="00000000" w:rsidR="00000000" w:rsidRPr="00000000">
        <w:rPr>
          <w:b w:val="1"/>
          <w:i w:val="1"/>
          <w:rtl w:val="1"/>
        </w:rPr>
        <w:t xml:space="preserve">יושם</w:t>
      </w:r>
      <w:r w:rsidDel="00000000" w:rsidR="00000000" w:rsidRPr="00000000">
        <w:rPr>
          <w:b w:val="1"/>
          <w:i w:val="1"/>
          <w:rtl w:val="1"/>
        </w:rPr>
        <w:t xml:space="preserve">"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יושם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קמיירי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יקח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שותפין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דמשתעי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הקדישו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הקדישו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b w:val="1"/>
          <w:rtl w:val="1"/>
        </w:rPr>
        <w:t xml:space="preserve">שיטות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מקובצת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יושם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בזוזי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לריב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בינייהו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בינייהו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לסלקו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בשותפותו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מסתבר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הניזוק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למכור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בחזקת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למכור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לניזק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מחזקתו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לסלקו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ואותה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עקיבא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ישמעאל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ביאתן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לדין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... </w:t>
      </w:r>
    </w:p>
    <w:p w:rsidR="00000000" w:rsidDel="00000000" w:rsidP="00000000" w:rsidRDefault="00000000" w:rsidRPr="00000000" w14:paraId="0000003F">
      <w:pPr>
        <w:bidi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שיטת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הרמב</w:t>
      </w:r>
      <w:r w:rsidDel="00000000" w:rsidR="00000000" w:rsidRPr="00000000">
        <w:rPr>
          <w:b w:val="1"/>
          <w:i w:val="1"/>
          <w:rtl w:val="1"/>
        </w:rPr>
        <w:t xml:space="preserve">"</w:t>
      </w:r>
      <w:r w:rsidDel="00000000" w:rsidR="00000000" w:rsidRPr="00000000">
        <w:rPr>
          <w:b w:val="1"/>
          <w:i w:val="1"/>
          <w:rtl w:val="1"/>
        </w:rPr>
        <w:t xml:space="preserve">ם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כשותפין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b w:val="1"/>
          <w:rtl w:val="1"/>
        </w:rPr>
        <w:t xml:space="preserve">מגיד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:[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דאתיא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דגמרא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הבחירה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מאירי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: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b w:val="1"/>
          <w:rtl w:val="1"/>
        </w:rPr>
        <w:t xml:space="preserve">אבן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האזל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העמדה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רשימות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שיעורים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סולבייצ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שחלוקים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אליבא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הוחלט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הנזק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הוחלט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העמדה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בדין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הברייתא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וצ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ישמעאל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הוחלט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bidi w:val="1"/>
        <w:rPr/>
      </w:pPr>
      <w:bookmarkStart w:colFirst="0" w:colLast="0" w:name="_1t3h5sf" w:id="8"/>
      <w:bookmarkEnd w:id="8"/>
      <w:r w:rsidDel="00000000" w:rsidR="00000000" w:rsidRPr="00000000">
        <w:rPr>
          <w:rtl w:val="1"/>
        </w:rPr>
        <w:t xml:space="preserve">היחס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פלגא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קנסא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אשמעתין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נגיחה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ברשותיה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דניזק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דפלגא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קנסא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!...  </w:t>
      </w:r>
      <w:r w:rsidDel="00000000" w:rsidR="00000000" w:rsidRPr="00000000">
        <w:rPr>
          <w:rtl w:val="1"/>
        </w:rPr>
        <w:t xml:space="preserve">תירצו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דכתיב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ומכרו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אניזק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מזהר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</w:t>
      </w:r>
      <w:r w:rsidDel="00000000" w:rsidR="00000000" w:rsidRPr="00000000">
        <w:rPr>
          <w:rtl w:val="1"/>
        </w:rPr>
        <w:t xml:space="preserve">....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והראב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דפלגא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שאני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דקרנא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דמשלם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ושותפי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דמחמת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ביעתותא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וגדולה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קנסא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קנסות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קרנא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pStyle w:val="Heading2"/>
        <w:bidi w:val="1"/>
        <w:rPr/>
      </w:pPr>
      <w:bookmarkStart w:colFirst="0" w:colLast="0" w:name="_4d34og8" w:id="9"/>
      <w:bookmarkEnd w:id="9"/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ייחודית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[*]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והניזק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b w:val="1"/>
          <w:rtl w:val="1"/>
        </w:rPr>
        <w:t xml:space="preserve">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והניזק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רעהו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מהר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*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הנימוס</w:t>
      </w:r>
      <w:r w:rsidDel="00000000" w:rsidR="00000000" w:rsidRPr="00000000">
        <w:rPr>
          <w:rtl w:val="1"/>
        </w:rPr>
        <w:t xml:space="preserve"> 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(</w:t>
      </w:r>
      <w:hyperlink r:id="rId7">
        <w:r w:rsidDel="00000000" w:rsidR="00000000" w:rsidRPr="00000000">
          <w:rPr>
            <w:color w:val="0563c1"/>
            <w:u w:val="single"/>
            <w:rtl w:val="1"/>
          </w:rPr>
          <w:t xml:space="preserve">שמות</w:t>
        </w:r>
      </w:hyperlink>
      <w:hyperlink r:id="rId8">
        <w:r w:rsidDel="00000000" w:rsidR="00000000" w:rsidRPr="00000000">
          <w:rPr>
            <w:color w:val="0563c1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color w:val="0563c1"/>
            <w:u w:val="single"/>
            <w:rtl w:val="1"/>
          </w:rPr>
          <w:t xml:space="preserve">כא</w:t>
        </w:r>
      </w:hyperlink>
      <w:hyperlink r:id="rId10">
        <w:r w:rsidDel="00000000" w:rsidR="00000000" w:rsidRPr="00000000">
          <w:rPr>
            <w:color w:val="0563c1"/>
            <w:u w:val="single"/>
            <w:rtl w:val="1"/>
          </w:rPr>
          <w:t xml:space="preserve">, </w:t>
        </w:r>
      </w:hyperlink>
      <w:hyperlink r:id="rId11">
        <w:r w:rsidDel="00000000" w:rsidR="00000000" w:rsidRPr="00000000">
          <w:rPr>
            <w:color w:val="0563c1"/>
            <w:u w:val="single"/>
            <w:rtl w:val="1"/>
          </w:rPr>
          <w:t xml:space="preserve">לה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(</w:t>
      </w:r>
      <w:hyperlink r:id="rId12">
        <w:r w:rsidDel="00000000" w:rsidR="00000000" w:rsidRPr="00000000">
          <w:rPr>
            <w:color w:val="0563c1"/>
            <w:u w:val="single"/>
            <w:rtl w:val="1"/>
          </w:rPr>
          <w:t xml:space="preserve">משלי</w:t>
        </w:r>
      </w:hyperlink>
      <w:hyperlink r:id="rId13">
        <w:r w:rsidDel="00000000" w:rsidR="00000000" w:rsidRPr="00000000">
          <w:rPr>
            <w:color w:val="0563c1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0563c1"/>
            <w:u w:val="single"/>
            <w:rtl w:val="1"/>
          </w:rPr>
          <w:t xml:space="preserve">יח</w:t>
        </w:r>
      </w:hyperlink>
      <w:hyperlink r:id="rId15">
        <w:r w:rsidDel="00000000" w:rsidR="00000000" w:rsidRPr="00000000">
          <w:rPr>
            <w:color w:val="0563c1"/>
            <w:u w:val="single"/>
            <w:rtl w:val="1"/>
          </w:rPr>
          <w:t xml:space="preserve">, </w:t>
        </w:r>
      </w:hyperlink>
      <w:hyperlink r:id="rId16">
        <w:r w:rsidDel="00000000" w:rsidR="00000000" w:rsidRPr="00000000">
          <w:rPr>
            <w:color w:val="0563c1"/>
            <w:u w:val="single"/>
            <w:rtl w:val="1"/>
          </w:rPr>
          <w:t xml:space="preserve">כד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להתרועע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נכרי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bidi w:val="1"/>
        <w:rPr/>
      </w:pPr>
      <w:bookmarkStart w:colFirst="0" w:colLast="0" w:name="_2s8eyo1" w:id="10"/>
      <w:bookmarkEnd w:id="10"/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b w:val="1"/>
          <w:rtl w:val="1"/>
        </w:rPr>
        <w:t xml:space="preserve">שיטה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מקובצת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b w:val="1"/>
          <w:rtl w:val="1"/>
        </w:rPr>
        <w:t xml:space="preserve">ומסתברא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דומכרו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כספו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יחצון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מתטפלין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דשבחא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דאכתי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י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השביחה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' +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יחצון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רשימות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שיעורים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סולובייצ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יק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בתשלומין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חצי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מפחיתים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בתשלומין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שיטה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תופסת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חצי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והנזק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מחלקין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בציור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יפחיתו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כתשלומין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שפיכת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כטומאת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וסילוק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השכינה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ההקדש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יורשין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ההקדש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המיתה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שלכולי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בפירושי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אדרשנו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והקשית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דפלוגתא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כדתניא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בברייתא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שנגח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ארבעה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)...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נתכוון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בפירושי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העונש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מקנס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נחלקו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</w:footnote>
  <w:footnote w:id="2"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במשמעותו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אדרשנו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לבצעו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הרוצח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בחלקו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אגרות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כשרונו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השתלמותו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ישחיתו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ומחקרי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שנתחדשו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וקדמום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נביאים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בהרחבה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">
    <w:p w:rsidR="00000000" w:rsidDel="00000000" w:rsidP="00000000" w:rsidRDefault="00000000" w:rsidRPr="00000000" w14:paraId="00000068">
      <w:pPr>
        <w:bidi w:val="1"/>
        <w:spacing w:line="276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להרחבה</w:t>
      </w:r>
      <w:r w:rsidDel="00000000" w:rsidR="00000000" w:rsidRPr="00000000">
        <w:rPr>
          <w:b w:val="1"/>
          <w:sz w:val="18"/>
          <w:szCs w:val="18"/>
          <w:rtl w:val="1"/>
        </w:rPr>
        <w:t xml:space="preserve">: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הרב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יעקב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נגן</w:t>
      </w:r>
      <w:r w:rsidDel="00000000" w:rsidR="00000000" w:rsidRPr="00000000">
        <w:rPr>
          <w:b w:val="1"/>
          <w:sz w:val="18"/>
          <w:szCs w:val="18"/>
          <w:rtl w:val="1"/>
        </w:rPr>
        <w:t xml:space="preserve">, "</w:t>
      </w:r>
      <w:r w:rsidDel="00000000" w:rsidR="00000000" w:rsidRPr="00000000">
        <w:rPr>
          <w:b w:val="1"/>
          <w:sz w:val="18"/>
          <w:szCs w:val="18"/>
          <w:rtl w:val="1"/>
        </w:rPr>
        <w:t xml:space="preserve">שור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או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מר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שור</w:t>
      </w:r>
      <w:r w:rsidDel="00000000" w:rsidR="00000000" w:rsidRPr="00000000">
        <w:rPr>
          <w:b w:val="1"/>
          <w:sz w:val="18"/>
          <w:szCs w:val="18"/>
          <w:rtl w:val="1"/>
        </w:rPr>
        <w:t xml:space="preserve">" (</w:t>
      </w:r>
      <w:r w:rsidDel="00000000" w:rsidR="00000000" w:rsidRPr="00000000">
        <w:rPr>
          <w:b w:val="1"/>
          <w:sz w:val="18"/>
          <w:szCs w:val="18"/>
          <w:rtl w:val="1"/>
        </w:rPr>
        <w:t xml:space="preserve">גולות</w:t>
      </w:r>
      <w:r w:rsidDel="00000000" w:rsidR="00000000" w:rsidRPr="00000000">
        <w:rPr>
          <w:b w:val="1"/>
          <w:sz w:val="18"/>
          <w:szCs w:val="18"/>
          <w:rtl w:val="1"/>
        </w:rPr>
        <w:t xml:space="preserve">, </w:t>
      </w:r>
      <w:r w:rsidDel="00000000" w:rsidR="00000000" w:rsidRPr="00000000">
        <w:rPr>
          <w:b w:val="1"/>
          <w:sz w:val="18"/>
          <w:szCs w:val="18"/>
          <w:rtl w:val="1"/>
        </w:rPr>
        <w:t xml:space="preserve">נמצא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באתר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הישיבה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וברשת</w:t>
      </w:r>
      <w:r w:rsidDel="00000000" w:rsidR="00000000" w:rsidRPr="00000000">
        <w:rPr>
          <w:b w:val="1"/>
          <w:sz w:val="18"/>
          <w:szCs w:val="18"/>
          <w:rtl w:val="1"/>
        </w:rPr>
        <w:t xml:space="preserve">);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הרב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דוד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סבתו</w:t>
      </w:r>
      <w:r w:rsidDel="00000000" w:rsidR="00000000" w:rsidRPr="00000000">
        <w:rPr>
          <w:b w:val="1"/>
          <w:sz w:val="18"/>
          <w:szCs w:val="18"/>
          <w:rtl w:val="1"/>
        </w:rPr>
        <w:t xml:space="preserve">, "</w:t>
      </w:r>
      <w:r w:rsidDel="00000000" w:rsidR="00000000" w:rsidRPr="00000000">
        <w:rPr>
          <w:b w:val="1"/>
          <w:sz w:val="18"/>
          <w:szCs w:val="18"/>
          <w:rtl w:val="1"/>
        </w:rPr>
        <w:t xml:space="preserve">חצי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נזק</w:t>
      </w:r>
      <w:r w:rsidDel="00000000" w:rsidR="00000000" w:rsidRPr="00000000">
        <w:rPr>
          <w:b w:val="1"/>
          <w:sz w:val="18"/>
          <w:szCs w:val="18"/>
          <w:rtl w:val="1"/>
        </w:rPr>
        <w:t xml:space="preserve">, </w:t>
      </w:r>
      <w:r w:rsidDel="00000000" w:rsidR="00000000" w:rsidRPr="00000000">
        <w:rPr>
          <w:b w:val="1"/>
          <w:sz w:val="18"/>
          <w:szCs w:val="18"/>
          <w:rtl w:val="1"/>
        </w:rPr>
        <w:t xml:space="preserve">דין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בבעלים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או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דין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בשור</w:t>
      </w:r>
      <w:r w:rsidDel="00000000" w:rsidR="00000000" w:rsidRPr="00000000">
        <w:rPr>
          <w:b w:val="1"/>
          <w:sz w:val="18"/>
          <w:szCs w:val="18"/>
          <w:rtl w:val="1"/>
        </w:rPr>
        <w:t xml:space="preserve">" </w:t>
      </w:r>
      <w:hyperlink r:id="rId1">
        <w:r w:rsidDel="00000000" w:rsidR="00000000" w:rsidRPr="00000000">
          <w:rPr>
            <w:b w:val="1"/>
            <w:color w:val="0563c1"/>
            <w:sz w:val="18"/>
            <w:szCs w:val="18"/>
            <w:u w:val="single"/>
            <w:rtl w:val="0"/>
          </w:rPr>
          <w:t xml:space="preserve">https://www.daat.ac.il/daat/kitveyet/maaliyot/hatsi-2.htm/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18"/>
          <w:szCs w:val="18"/>
          <w:rtl w:val="1"/>
        </w:rPr>
        <w:t xml:space="preserve">  </w:t>
      </w:r>
      <w:r w:rsidDel="00000000" w:rsidR="00000000" w:rsidRPr="00000000">
        <w:rPr>
          <w:b w:val="1"/>
          <w:sz w:val="18"/>
          <w:szCs w:val="18"/>
          <w:rtl w:val="1"/>
        </w:rPr>
        <w:t xml:space="preserve">ושם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בתוך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דבריו</w:t>
      </w:r>
      <w:r w:rsidDel="00000000" w:rsidR="00000000" w:rsidRPr="00000000">
        <w:rPr>
          <w:b w:val="1"/>
          <w:sz w:val="18"/>
          <w:szCs w:val="1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 "</w:t>
      </w:r>
      <w:r w:rsidDel="00000000" w:rsidR="00000000" w:rsidRPr="00000000">
        <w:rPr>
          <w:sz w:val="18"/>
          <w:szCs w:val="18"/>
          <w:rtl w:val="1"/>
        </w:rPr>
        <w:t xml:space="preserve">נראה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שהפתרון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לשאלה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הזו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נובע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ההשוואה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מזיק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רוצח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באופן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יסודי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החיוב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איננו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הבעלים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אלא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השור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כאשר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רוצח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חייב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למות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כאשר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מזיק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חייב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לשלם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השור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עצמו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נחשב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לאישיות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משפטית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בכך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שור</w:t>
      </w:r>
      <w:r w:rsidDel="00000000" w:rsidR="00000000" w:rsidRPr="00000000">
        <w:rPr>
          <w:sz w:val="18"/>
          <w:szCs w:val="18"/>
          <w:rtl w:val="1"/>
        </w:rPr>
        <w:t xml:space="preserve">;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אדון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שור</w:t>
      </w:r>
      <w:r w:rsidDel="00000000" w:rsidR="00000000" w:rsidRPr="00000000">
        <w:rPr>
          <w:sz w:val="18"/>
          <w:szCs w:val="18"/>
          <w:rtl w:val="1"/>
        </w:rPr>
        <w:t xml:space="preserve">… </w:t>
      </w:r>
      <w:r w:rsidDel="00000000" w:rsidR="00000000" w:rsidRPr="00000000">
        <w:rPr>
          <w:sz w:val="18"/>
          <w:szCs w:val="18"/>
          <w:rtl w:val="1"/>
        </w:rPr>
        <w:t xml:space="preserve">השאלה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המתבקשת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היא</w:t>
      </w:r>
      <w:r w:rsidDel="00000000" w:rsidR="00000000" w:rsidRPr="00000000">
        <w:rPr>
          <w:sz w:val="18"/>
          <w:szCs w:val="18"/>
          <w:rtl w:val="1"/>
        </w:rPr>
        <w:t xml:space="preserve">: </w:t>
      </w:r>
      <w:r w:rsidDel="00000000" w:rsidR="00000000" w:rsidRPr="00000000">
        <w:rPr>
          <w:sz w:val="18"/>
          <w:szCs w:val="18"/>
          <w:rtl w:val="1"/>
        </w:rPr>
        <w:t xml:space="preserve">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אומרת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שהשור</w:t>
      </w:r>
      <w:r w:rsidDel="00000000" w:rsidR="00000000" w:rsidRPr="00000000">
        <w:rPr>
          <w:sz w:val="18"/>
          <w:szCs w:val="18"/>
          <w:rtl w:val="1"/>
        </w:rPr>
        <w:t xml:space="preserve"> '</w:t>
      </w:r>
      <w:r w:rsidDel="00000000" w:rsidR="00000000" w:rsidRPr="00000000">
        <w:rPr>
          <w:sz w:val="18"/>
          <w:szCs w:val="18"/>
          <w:rtl w:val="1"/>
        </w:rPr>
        <w:t xml:space="preserve">משלם</w:t>
      </w:r>
      <w:r w:rsidDel="00000000" w:rsidR="00000000" w:rsidRPr="00000000">
        <w:rPr>
          <w:sz w:val="18"/>
          <w:szCs w:val="18"/>
          <w:rtl w:val="1"/>
        </w:rPr>
        <w:t xml:space="preserve">'? </w:t>
      </w:r>
      <w:r w:rsidDel="00000000" w:rsidR="00000000" w:rsidRPr="00000000">
        <w:rPr>
          <w:sz w:val="18"/>
          <w:szCs w:val="18"/>
          <w:rtl w:val="1"/>
        </w:rPr>
        <w:t xml:space="preserve">האם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לשוורים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רכוש</w:t>
      </w:r>
      <w:r w:rsidDel="00000000" w:rsidR="00000000" w:rsidRPr="00000000">
        <w:rPr>
          <w:sz w:val="18"/>
          <w:szCs w:val="18"/>
          <w:rtl w:val="1"/>
        </w:rPr>
        <w:t xml:space="preserve">?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השאלה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הזו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לדעתי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ההוכחה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החזקה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ביותר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לתזה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הנוכחית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שהרי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אכן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בשור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שמזיק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בעל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משלם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אלא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השור</w:t>
      </w:r>
      <w:r w:rsidDel="00000000" w:rsidR="00000000" w:rsidRPr="00000000">
        <w:rPr>
          <w:sz w:val="18"/>
          <w:szCs w:val="18"/>
          <w:rtl w:val="1"/>
        </w:rPr>
        <w:t xml:space="preserve">! </w:t>
      </w:r>
      <w:r w:rsidDel="00000000" w:rsidR="00000000" w:rsidRPr="00000000">
        <w:rPr>
          <w:sz w:val="18"/>
          <w:szCs w:val="18"/>
          <w:rtl w:val="1"/>
        </w:rPr>
        <w:t xml:space="preserve">בכך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עולה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לאחד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המפתיעים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ביותר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תם</w:t>
      </w:r>
      <w:r w:rsidDel="00000000" w:rsidR="00000000" w:rsidRPr="00000000">
        <w:rPr>
          <w:sz w:val="18"/>
          <w:szCs w:val="18"/>
          <w:rtl w:val="1"/>
        </w:rPr>
        <w:t xml:space="preserve">: </w:t>
      </w:r>
      <w:r w:rsidDel="00000000" w:rsidR="00000000" w:rsidRPr="00000000">
        <w:rPr>
          <w:sz w:val="18"/>
          <w:szCs w:val="18"/>
          <w:rtl w:val="1"/>
        </w:rPr>
        <w:t xml:space="preserve">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המזיק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משלם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מגופו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בבא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קמא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ד</w:t>
      </w:r>
      <w:r w:rsidDel="00000000" w:rsidR="00000000" w:rsidRPr="00000000">
        <w:rPr>
          <w:sz w:val="18"/>
          <w:szCs w:val="18"/>
          <w:rtl w:val="1"/>
        </w:rPr>
        <w:t xml:space="preserve">). </w:t>
      </w:r>
      <w:r w:rsidDel="00000000" w:rsidR="00000000" w:rsidRPr="00000000">
        <w:rPr>
          <w:sz w:val="18"/>
          <w:szCs w:val="18"/>
          <w:rtl w:val="1"/>
        </w:rPr>
        <w:t xml:space="preserve">פירוש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שהגובה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המקסימלי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תשלום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הנזק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גופו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השור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כמו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בניגוד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לשאר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הנזקים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שעליהם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הבעלים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צריכים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לשלם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</w:t>
      </w:r>
      <w:r w:rsidDel="00000000" w:rsidR="00000000" w:rsidRPr="00000000">
        <w:rPr>
          <w:sz w:val="18"/>
          <w:szCs w:val="18"/>
          <w:rtl w:val="1"/>
        </w:rPr>
        <w:t xml:space="preserve">'</w:t>
      </w:r>
      <w:r w:rsidDel="00000000" w:rsidR="00000000" w:rsidRPr="00000000">
        <w:rPr>
          <w:sz w:val="18"/>
          <w:szCs w:val="18"/>
          <w:rtl w:val="1"/>
        </w:rPr>
        <w:t xml:space="preserve">מיטב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הארץ</w:t>
      </w:r>
      <w:r w:rsidDel="00000000" w:rsidR="00000000" w:rsidRPr="00000000">
        <w:rPr>
          <w:sz w:val="18"/>
          <w:szCs w:val="18"/>
          <w:rtl w:val="1"/>
        </w:rPr>
        <w:t xml:space="preserve">', </w:t>
      </w:r>
      <w:r w:rsidDel="00000000" w:rsidR="00000000" w:rsidRPr="00000000">
        <w:rPr>
          <w:sz w:val="18"/>
          <w:szCs w:val="18"/>
          <w:rtl w:val="1"/>
        </w:rPr>
        <w:t xml:space="preserve">כאן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הגבייה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עצמה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מגופו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השור</w:t>
      </w:r>
      <w:r w:rsidDel="00000000" w:rsidR="00000000" w:rsidRPr="00000000">
        <w:rPr>
          <w:sz w:val="18"/>
          <w:szCs w:val="18"/>
          <w:rtl w:val="1"/>
        </w:rPr>
        <w:t xml:space="preserve">...</w:t>
      </w:r>
      <w:r w:rsidDel="00000000" w:rsidR="00000000" w:rsidRPr="00000000">
        <w:rPr>
          <w:sz w:val="18"/>
          <w:szCs w:val="18"/>
          <w:rtl w:val="1"/>
        </w:rPr>
        <w:t xml:space="preserve">נראה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שהסברה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לכך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דומה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לסברה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רוצח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שם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עצמו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נענש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מעשה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הרצח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סקילתו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רוצח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מקבילה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לתשלום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הנזק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אצל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מזיק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הבעלים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אינם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נזקים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שעשה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ולפיכך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נעשה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עצמו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ערב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חובו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וגובים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התשלום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מגופו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</w:footnote>
  <w:footnote w:id="4"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בלשונו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הנתיבות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דכשהתם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נגח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שיעבוד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דקיי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דיוחלט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דידיה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ביאורים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</w:t>
      </w:r>
    </w:p>
  </w:footnote>
  <w:footnote w:id="5"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שפחתתו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מחצין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הנבילה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פחותין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ונותן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</w:footnote>
  <w:footnote w:id="6"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דנבילה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דנבילה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שפחתה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פליגי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בנבילה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דניזק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שפחתה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</w:footnote>
  <w:footnote w:id="7"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מטפלים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בנבילה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דכתיב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לניזק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שפחתתו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מחצין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שנגח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והנבילה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ופלגא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פלגי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דבשלמא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שפחתתו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דהיכא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כדקתני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דליכא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למימר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9"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במוסרה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כראוי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ישמרנו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</w:footnote>
  <w:footnote w:id="10"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קצות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החושן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חושן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לדידן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עקיבא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לרדיא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בברייתא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הקדישו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מוקדש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במתנה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משעמד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הקדישו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מוקדש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במתנה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לרדיא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הקדישו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מוקדש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שחיטה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ושיטת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דאתיא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ישמעאל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עקיבא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לרדיא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דשטת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דאתיא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ישמעאל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ישמעאל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לסלוקי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בזוזי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ולשטת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דסברי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ישמעאל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לסלקו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בזוזי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דאתיא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עקיבא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דקנס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מיפטר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דאמרינן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הקדישו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בינייהו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</w:t>
      </w:r>
    </w:p>
  </w:footnote>
  <w:footnote w:id="11"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ברקע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פלגא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קנסא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מתחילתא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מגבינן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efaria.org.il/Exodus.21.35" TargetMode="External"/><Relationship Id="rId10" Type="http://schemas.openxmlformats.org/officeDocument/2006/relationships/hyperlink" Target="https://www.sefaria.org.il/Exodus.21.35" TargetMode="External"/><Relationship Id="rId13" Type="http://schemas.openxmlformats.org/officeDocument/2006/relationships/hyperlink" Target="https://www.sefaria.org.il/Proverbs.18.24" TargetMode="External"/><Relationship Id="rId12" Type="http://schemas.openxmlformats.org/officeDocument/2006/relationships/hyperlink" Target="https://www.sefaria.org.il/Proverbs.18.2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efaria.org.il/Exodus.21.35" TargetMode="External"/><Relationship Id="rId15" Type="http://schemas.openxmlformats.org/officeDocument/2006/relationships/hyperlink" Target="https://www.sefaria.org.il/Proverbs.18.24" TargetMode="External"/><Relationship Id="rId14" Type="http://schemas.openxmlformats.org/officeDocument/2006/relationships/hyperlink" Target="https://www.sefaria.org.il/Proverbs.18.24" TargetMode="External"/><Relationship Id="rId16" Type="http://schemas.openxmlformats.org/officeDocument/2006/relationships/hyperlink" Target="https://www.sefaria.org.il/Proverbs.18.24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sefaria.org.il/Exodus.21.35" TargetMode="External"/><Relationship Id="rId8" Type="http://schemas.openxmlformats.org/officeDocument/2006/relationships/hyperlink" Target="https://www.sefaria.org.il/Exodus.21.35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daat.ac.il/daat/kitveyet/maaliyot/hatsi-2.ht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