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האמוראים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בדיון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הקדמונים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מכילתא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6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הבערו</w:t>
      </w:r>
      <w:r w:rsidDel="00000000" w:rsidR="00000000" w:rsidRPr="00000000">
        <w:rPr>
          <w:rtl w:val="1"/>
        </w:rPr>
        <w:t xml:space="preserve">!?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והבהמה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מועדת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לשבר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בדרך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הילוכה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ששמין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להקדש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6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מכילתא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ישמעאל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דנזיקין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מכילתא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יוחאי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</w:p>
    <w:p w:rsidR="00000000" w:rsidDel="00000000" w:rsidP="00000000" w:rsidRDefault="00000000" w:rsidRPr="00000000" w14:paraId="0000000D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בעירו</w:t>
      </w:r>
      <w:r w:rsidDel="00000000" w:rsidR="00000000" w:rsidRPr="00000000">
        <w:rPr>
          <w:rtl w:val="1"/>
        </w:rPr>
        <w:t xml:space="preserve">. &lt;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מנין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לרגל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לשבר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בדרך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הילוכה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בעירו</w:t>
      </w:r>
      <w:r w:rsidDel="00000000" w:rsidR="00000000" w:rsidRPr="00000000">
        <w:rPr>
          <w:rtl w:val="1"/>
        </w:rPr>
        <w:t xml:space="preserve">&gt;.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וגומ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ישע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מנין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הזיקה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כדרכה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כדרך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הילוכה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חמור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במשאוי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שעליו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כדרך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הילוכו</w:t>
      </w:r>
      <w:r w:rsidDel="00000000" w:rsidR="00000000" w:rsidRPr="00000000">
        <w:rPr>
          <w:highlight w:val="yellow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כך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כדרכו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ובראוי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משלם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שלם</w:t>
      </w:r>
      <w:r w:rsidDel="00000000" w:rsidR="00000000" w:rsidRPr="00000000">
        <w:rPr>
          <w:rtl w:val="0"/>
        </w:rPr>
        <w:t xml:space="preserve">.\</w:t>
      </w:r>
    </w:p>
    <w:p w:rsidR="00000000" w:rsidDel="00000000" w:rsidP="00000000" w:rsidRDefault="00000000" w:rsidRPr="00000000" w14:paraId="0000000E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מנין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לשן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ראוי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ולרגל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לשבר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כדרך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הילוכה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להקיש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כך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כדרכו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בשאין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ראוי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color w:val="ff0000"/>
          <w:highlight w:val="yellow"/>
          <w:rtl w:val="1"/>
        </w:rPr>
        <w:t xml:space="preserve">בתם</w:t>
      </w:r>
      <w:r w:rsidDel="00000000" w:rsidR="00000000" w:rsidRPr="00000000">
        <w:rPr>
          <w:color w:val="ff0000"/>
          <w:highlight w:val="yellow"/>
          <w:rtl w:val="1"/>
        </w:rPr>
        <w:t xml:space="preserve"> </w:t>
      </w:r>
      <w:r w:rsidDel="00000000" w:rsidR="00000000" w:rsidRPr="00000000">
        <w:rPr>
          <w:color w:val="ff0000"/>
          <w:highlight w:val="yellow"/>
          <w:rtl w:val="1"/>
        </w:rPr>
        <w:t xml:space="preserve">משלם</w:t>
      </w:r>
      <w:r w:rsidDel="00000000" w:rsidR="00000000" w:rsidRPr="00000000">
        <w:rPr>
          <w:color w:val="ff0000"/>
          <w:highlight w:val="yellow"/>
          <w:rtl w:val="1"/>
        </w:rPr>
        <w:t xml:space="preserve"> </w:t>
      </w:r>
      <w:r w:rsidDel="00000000" w:rsidR="00000000" w:rsidRPr="00000000">
        <w:rPr>
          <w:color w:val="ff0000"/>
          <w:highlight w:val="yellow"/>
          <w:rtl w:val="1"/>
        </w:rPr>
        <w:t xml:space="preserve">חצי</w:t>
      </w:r>
      <w:r w:rsidDel="00000000" w:rsidR="00000000" w:rsidRPr="00000000">
        <w:rPr>
          <w:color w:val="ff0000"/>
          <w:highlight w:val="yellow"/>
          <w:rtl w:val="1"/>
        </w:rPr>
        <w:t xml:space="preserve"> </w:t>
      </w:r>
      <w:r w:rsidDel="00000000" w:rsidR="00000000" w:rsidRPr="00000000">
        <w:rPr>
          <w:color w:val="ff0000"/>
          <w:highlight w:val="yellow"/>
          <w:rtl w:val="1"/>
        </w:rPr>
        <w:t xml:space="preserve">נזק</w:t>
      </w:r>
      <w:r w:rsidDel="00000000" w:rsidR="00000000" w:rsidRPr="00000000">
        <w:rPr>
          <w:color w:val="ff0000"/>
          <w:highlight w:val="yellow"/>
          <w:rtl w:val="1"/>
        </w:rPr>
        <w:t xml:space="preserve"> </w:t>
      </w:r>
      <w:r w:rsidDel="00000000" w:rsidR="00000000" w:rsidRPr="00000000">
        <w:rPr>
          <w:color w:val="ff0000"/>
          <w:highlight w:val="yellow"/>
          <w:rtl w:val="1"/>
        </w:rPr>
        <w:t xml:space="preserve">ובמועד</w:t>
      </w:r>
      <w:r w:rsidDel="00000000" w:rsidR="00000000" w:rsidRPr="00000000">
        <w:rPr>
          <w:color w:val="ff0000"/>
          <w:highlight w:val="yellow"/>
          <w:rtl w:val="1"/>
        </w:rPr>
        <w:t xml:space="preserve"> </w:t>
      </w:r>
      <w:r w:rsidDel="00000000" w:rsidR="00000000" w:rsidRPr="00000000">
        <w:rPr>
          <w:color w:val="ff0000"/>
          <w:highlight w:val="yellow"/>
          <w:rtl w:val="1"/>
        </w:rPr>
        <w:t xml:space="preserve">נזק</w:t>
      </w:r>
      <w:r w:rsidDel="00000000" w:rsidR="00000000" w:rsidRPr="00000000">
        <w:rPr>
          <w:color w:val="ff0000"/>
          <w:highlight w:val="yellow"/>
          <w:rtl w:val="1"/>
        </w:rPr>
        <w:t xml:space="preserve"> </w:t>
      </w:r>
      <w:r w:rsidDel="00000000" w:rsidR="00000000" w:rsidRPr="00000000">
        <w:rPr>
          <w:color w:val="ff0000"/>
          <w:highlight w:val="yellow"/>
          <w:rtl w:val="1"/>
        </w:rPr>
        <w:t xml:space="preserve">שלם</w:t>
      </w:r>
      <w:r w:rsidDel="00000000" w:rsidR="00000000" w:rsidRPr="00000000">
        <w:rPr>
          <w:color w:val="ff0000"/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</w:p>
    <w:p w:rsidR="00000000" w:rsidDel="00000000" w:rsidP="00000000" w:rsidRDefault="00000000" w:rsidRPr="00000000" w14:paraId="00000017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לשוך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לרבוץ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לבעוט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הרגל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מועדת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לשבור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בדרך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הלוכה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והברדלס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C">
      <w:pPr>
        <w:pStyle w:val="Heading4"/>
        <w:bidi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כיצד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הרגל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מועדת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ולשבר</w:t>
      </w:r>
    </w:p>
    <w:p w:rsidR="00000000" w:rsidDel="00000000" w:rsidP="00000000" w:rsidRDefault="00000000" w:rsidRPr="00000000" w14:paraId="0000001D">
      <w:pPr>
        <w:pStyle w:val="Heading4"/>
        <w:bidi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מבעטת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שהיו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צרורות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מנתזין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מתחת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רגליה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ושברה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הכלים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משלם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חצי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התרנגולים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F">
      <w:pPr>
        <w:pStyle w:val="Heading4"/>
        <w:bidi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כיצד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השן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מועדת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וירקות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0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25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שקפצו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מפני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שהן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מועדין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bidi w:val="1"/>
        <w:rPr/>
      </w:pPr>
      <w:bookmarkStart w:colFirst="0" w:colLast="0" w:name="_30j0zll" w:id="1"/>
      <w:bookmarkEnd w:id="1"/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</w:p>
    <w:p w:rsidR="00000000" w:rsidDel="00000000" w:rsidP="00000000" w:rsidRDefault="00000000" w:rsidRPr="00000000" w14:paraId="0000002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2D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30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1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דווד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ותרוץ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pStyle w:val="Heading2"/>
        <w:bidi w:val="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התוספתא</w:t>
      </w:r>
    </w:p>
    <w:p w:rsidR="00000000" w:rsidDel="00000000" w:rsidP="00000000" w:rsidRDefault="00000000" w:rsidRPr="00000000" w14:paraId="00000039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ליברמן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</w:p>
    <w:p w:rsidR="00000000" w:rsidDel="00000000" w:rsidP="00000000" w:rsidRDefault="00000000" w:rsidRPr="00000000" w14:paraId="0000003B">
      <w:pPr>
        <w:pStyle w:val="Heading4"/>
        <w:bidi w:val="1"/>
        <w:rPr/>
      </w:pPr>
      <w:r w:rsidDel="00000000" w:rsidR="00000000" w:rsidRPr="00000000">
        <w:rPr>
          <w:color w:val="ff0000"/>
          <w:rtl w:val="1"/>
        </w:rPr>
        <w:t xml:space="preserve">הבהמה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אינה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מועדה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לרבוץ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לבעוט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ונתזו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צרורות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מתחת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רגליה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ונפלו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הכלי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ושברתו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משלמת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חצי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ליברמן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</w:t>
      </w:r>
    </w:p>
    <w:p w:rsidR="00000000" w:rsidDel="00000000" w:rsidP="00000000" w:rsidRDefault="00000000" w:rsidRPr="00000000" w14:paraId="0000003E">
      <w:pPr>
        <w:pStyle w:val="Heading4"/>
        <w:bidi w:val="1"/>
        <w:rPr>
          <w:color w:val="ff0000"/>
        </w:rPr>
      </w:pP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בהמה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מועדת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לילך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כדרכה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ולשבר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למעך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האדם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הפירות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הכלים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שהזיקה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ברגלה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כדרך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הילוכה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ובגופה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כדרך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הילוכה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חמור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במשוי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שעליו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כדרך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הילוכו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סימכוס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אומ</w:t>
      </w:r>
      <w:r w:rsidDel="00000000" w:rsidR="00000000" w:rsidRPr="00000000">
        <w:rPr>
          <w:color w:val="ff0000"/>
          <w:rtl w:val="1"/>
        </w:rPr>
        <w:t xml:space="preserve">' </w:t>
      </w:r>
      <w:r w:rsidDel="00000000" w:rsidR="00000000" w:rsidRPr="00000000">
        <w:rPr>
          <w:color w:val="ff0000"/>
          <w:rtl w:val="1"/>
        </w:rPr>
        <w:t xml:space="preserve">חזיר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שהיה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נוביר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והזיק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בחוטמו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משלם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נזק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שלם</w:t>
      </w:r>
      <w:r w:rsidDel="00000000" w:rsidR="00000000" w:rsidRPr="00000000">
        <w:rPr>
          <w:color w:val="ff0000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ליברמן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2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תרנוגלין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שניקירו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3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מחטחטין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5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תרנגלין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וקיטמו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סימכוס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הקיטום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השיבור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חצי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תרנגול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שבכנפיו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והלאה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בהלכתא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5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57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בחצי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דקי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דהלכתא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גמירי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למשה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מסיני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דממונא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קנס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דמכח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במתניתין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ותוס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06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62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הוא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להא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לא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בעי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הלכתא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דממילא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ממונא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הוא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כיון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דתולדה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דרגל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הוי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ועיקר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הלכה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לחצי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נזק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גמיר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ולפוטרו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65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לפוטרו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ואתי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הלכתא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משלם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חצי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המסכת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ערובין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2"/>
        <w:bidi w:val="1"/>
        <w:rPr/>
      </w:pPr>
      <w:bookmarkStart w:colFirst="0" w:colLast="0" w:name="_3znysh7" w:id="3"/>
      <w:bookmarkEnd w:id="3"/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</w:p>
    <w:p w:rsidR="00000000" w:rsidDel="00000000" w:rsidP="00000000" w:rsidRDefault="00000000" w:rsidRPr="00000000" w14:paraId="00000078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9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ישתכחו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D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דמתרצת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הרגשתם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כפשטן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': </w:t>
      </w:r>
    </w:p>
    <w:p w:rsidR="00000000" w:rsidDel="00000000" w:rsidP="00000000" w:rsidRDefault="00000000" w:rsidRPr="00000000" w14:paraId="00000082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ריהטא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להולמן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לריבויים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ימלטו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צרפית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צרפת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מופלגים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שנרוויח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מתורץ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מפשטן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בילדותו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דקטנותא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ואישתמיטתי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מחיבוריו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המסתעפים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3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ואיצטרכו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ובלה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הנהוגים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'.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רביעי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בחיבורו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בילדותו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דנשתכחו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יועיל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שיעורין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דמשערין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הרקיב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והכניסם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דברינו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ובמחיצין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דפנחס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בילקוט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שנצטוה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'/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ושיעורין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בחציצין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מקוואות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בחציצה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עקומה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מזוזה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דוכסוסטס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ומעברת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דתפילין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ודף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ומסורגל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וסרגול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שסרגול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נכרכות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ונתפרות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הלבלר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זרעוני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נסמוך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דכלאים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נלפענ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בפרטים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ובלה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דילועין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כנטיעות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שביעי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דניסוך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'. (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עיגול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ותמהתי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ופלוגת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4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החזן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שפרצתו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שעוררנו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ובחיבורו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שמשביחו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יבלעהו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שמשביחו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ויפסידו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שיצטרכו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והארכנו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בחידושי</w:t>
      </w:r>
      <w:r w:rsidDel="00000000" w:rsidR="00000000" w:rsidRPr="00000000">
        <w:rPr>
          <w:rtl w:val="1"/>
        </w:rPr>
        <w:t xml:space="preserve">'. (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משניות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חטאות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ותוספ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נשמעו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אמשטרדם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מדפליגו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ושכיפרו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וחכמי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ונולדו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'. (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ניסוך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מגילות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דיחזקאל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דיחזקאל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באגדת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פסולי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מסוטה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צל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)] </w:t>
      </w:r>
      <w:r w:rsidDel="00000000" w:rsidR="00000000" w:rsidRPr="00000000">
        <w:rPr>
          <w:rtl w:val="1"/>
        </w:rPr>
        <w:t xml:space="preserve">והמיימוני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שנצטוה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ודוק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הגולל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ומרבנים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הפלאה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בהשגותיו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יחזקאל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ערל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דביחזקאל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תיתורא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'. (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נב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מחתינהו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נזירות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נג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הבועל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הנשרפין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נתעלמה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נד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הערל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הדקדוק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מדואג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חגיגה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נה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בקריאתן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מכתיבתן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שמבוקשו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בחיבורו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אדוניהו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וינציאה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בהשגתי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דתענית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נט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ולפענד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בהשגותיו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דסוטה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ועוקרת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בריבויין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דעוקבות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ומוספו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5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סא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לרחק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ורבותיהם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חכלילי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קביעות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הסותרי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לכשיבאו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דאהרן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שיתירו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ויתירנו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ובקונטרסי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דשיל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שהתרנגולת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יסלח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ספיקה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ואישתמיטי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זדונו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מיותרת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ספקו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זדונם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שהשגנו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דבטל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קנבוס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סג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ערחשת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מרחשת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'/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הקרבנות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חגיגה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מנצפ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דשכחם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ששכח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נלפענ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שחדשוהו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שנשתכח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ירמי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ובקונטרסים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שגנז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למלכותו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ליהויקים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ומזוזות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ותיקנום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דבשכחם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ותקנום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במנצפך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דיחזקאל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יחזקאל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ויחזקאל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הנזכרת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דשכחוהו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יחזקאל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מויקם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בדיבורו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המתגאה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דהפליגו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מאסמכת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סיסרא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המופלג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שענינה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סיסרא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ואביגיל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והוכיחו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וסייעתי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וקהלת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ובלה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יחזקאל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מפסוקי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וענייני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תורניים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בכוורתו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מחגרו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נפשותיכם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תעבורנה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במעטי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דגליות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דגלית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ילפות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תירוצו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דאסמכו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הדוכסוסטס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וזרעוני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דמנחות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ודכוותי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וצינורות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שהמשיכוהו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מקוואות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אישתמיטת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לעונשין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וזמני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בילפות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הלמד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ידרשוהו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למבוקשינו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ודף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תענית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גזירת</w:t>
      </w:r>
      <w:r w:rsidDel="00000000" w:rsidR="00000000" w:rsidRPr="00000000">
        <w:rPr>
          <w:rtl w:val="1"/>
        </w:rPr>
        <w:t xml:space="preserve">' /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דזקפא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בדקלא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גויל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ותמצית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דקדוקי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ורמזים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ונשתכח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מהאומרו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שהפירושים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המפורסמים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שבימי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יועזר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המקראות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בקדאי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בקראי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התרשלות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בקונטרסים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זכרנום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וקולשת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להולמם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ולקרבם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ונחקרה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ולכאן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הנלמדים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ליהושוע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המקראות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וגמד</w:t>
      </w:r>
      <w:r w:rsidDel="00000000" w:rsidR="00000000" w:rsidRPr="00000000">
        <w:rPr>
          <w:rtl w:val="1"/>
        </w:rPr>
        <w:t xml:space="preserve">' /</w:t>
      </w:r>
      <w:r w:rsidDel="00000000" w:rsidR="00000000" w:rsidRPr="00000000">
        <w:rPr>
          <w:rtl w:val="1"/>
        </w:rPr>
        <w:t xml:space="preserve">וגמר</w:t>
      </w:r>
      <w:r w:rsidDel="00000000" w:rsidR="00000000" w:rsidRPr="00000000">
        <w:rPr>
          <w:rtl w:val="1"/>
        </w:rPr>
        <w:t xml:space="preserve">'/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ליהושוע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דדרז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דחגיגה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המטמאין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והמטהרין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ומכשירי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האוסרים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והמתירים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והמזכים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מלבד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התעוררות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והתעוררות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באובנתא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ומכחו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תגבורות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נתעב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ונמאס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כרצונם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מאומה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שוגג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בהיפוכו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חמישית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ולעד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וכפי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והמדרשים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במימראות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חגיגות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דחגיגה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וטריפות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ופלוגת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שיולדו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והתרשלות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במחשבתו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שמהכאת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פלפולם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תלכו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הלכו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ותמהו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דסמיכה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דשכיחא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אנטיגנוס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ואבטליון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שקנטרן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והנשיאי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בפרהסיא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הפייסות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ואמוראי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מוזגי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עתניאל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בפלפולו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וירבעם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פלפלין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משניות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ופלוגתת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בשכבך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דחגיגה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הזכרתיו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לחולשת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ובשיעורו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כאגוז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הכתובים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ואיפכא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ישתכחו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הכוזב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ונשכח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יתעוררו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וגנזי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דנוטלין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פלוגתתייהו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והתוס</w:t>
      </w:r>
      <w:r w:rsidDel="00000000" w:rsidR="00000000" w:rsidRPr="00000000">
        <w:rPr>
          <w:rtl w:val="1"/>
        </w:rPr>
        <w:t xml:space="preserve">' [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ישתכחו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תקצור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ופרטיהם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זצלה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שנדפס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צמאונינו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ממבוכתינו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בהשגתו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סתימתאי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שדרז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מדקדוקי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וקוצתיהן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נתפרשו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דסוטה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ותמהתי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אדידי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ירבעם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זוטרתי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פוחתין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המקראות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בשכבך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ובקומך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בהבנת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וקולשת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וחולשת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וביאורו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שביעי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מסתעפים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דנשכחו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עתניאל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בפלפולו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בזכרונינו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תמיהתינו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מסעיפי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ילפות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הנחנקין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תמיהתינו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והמקומו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הילכת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ולולי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לאסמכת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דהמתגאה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ואגדה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להתרצן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לתירץ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לשיטת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דאתמחי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ותמצאנה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שבתשובות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וביאורו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בהשגתו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והעתיקו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למדרשם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דמקואות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וכעדשה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ושיעורו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המכריעין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דאישתמיטתי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רבוואת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דמשתמט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דאישתמט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בהשגותיו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למכריעין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ובנפלאות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יגורתי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כיחדתי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אצדיק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בגחלתי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ותורתי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בכרך</w:t>
      </w:r>
      <w:r w:rsidDel="00000000" w:rsidR="00000000" w:rsidRPr="00000000">
        <w:rPr>
          <w:rtl w:val="1"/>
        </w:rPr>
        <w:t xml:space="preserve"> +/</w:t>
      </w:r>
      <w:r w:rsidDel="00000000" w:rsidR="00000000" w:rsidRPr="00000000">
        <w:rPr>
          <w:rtl w:val="1"/>
        </w:rPr>
        <w:t xml:space="preserve">מהגהות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הגב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')+ </w:t>
      </w:r>
    </w:p>
    <w:p w:rsidR="00000000" w:rsidDel="00000000" w:rsidP="00000000" w:rsidRDefault="00000000" w:rsidRPr="00000000" w14:paraId="00000086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קצב</w:t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2"/>
        <w:bidi w:val="1"/>
        <w:rPr/>
      </w:pPr>
      <w:bookmarkStart w:colFirst="0" w:colLast="0" w:name="_2et92p0" w:id="4"/>
      <w:bookmarkEnd w:id="4"/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3"/>
        <w:bidi w:val="1"/>
        <w:rPr/>
      </w:pPr>
      <w:bookmarkStart w:colFirst="0" w:colLast="0" w:name="_tyjcwt" w:id="5"/>
      <w:bookmarkEnd w:id="5"/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8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8F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בחצי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דקי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דהלכתא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גמירי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למשה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מסיני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דממונא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קנס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דמכח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3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95">
      <w:pPr>
        <w:bidi w:val="1"/>
        <w:rPr/>
      </w:pP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במתניתין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6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3"/>
        <w:bidi w:val="1"/>
        <w:rPr/>
      </w:pPr>
      <w:bookmarkStart w:colFirst="0" w:colLast="0" w:name="_3dy6vkm" w:id="6"/>
      <w:bookmarkEnd w:id="6"/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ותוס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09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9A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הוא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להא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לא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בעי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הלכתא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דממילא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ממונא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הוא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כיון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דתולדה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דרגל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הוי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ועיקר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הלכה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לחצי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נזק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גמיר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ולפוטרו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</w:p>
    <w:p w:rsidR="00000000" w:rsidDel="00000000" w:rsidP="00000000" w:rsidRDefault="00000000" w:rsidRPr="00000000" w14:paraId="0000009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9D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לפוטרו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ואתי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הלכתא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משלם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חצי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firstLine="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240" w:before="240" w:lineRule="auto"/>
      <w:ind w:firstLine="0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firstLine="0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  <w:ind w:left="368" w:right="426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