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לעילוי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נשמת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הרוג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הפיגוע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לרפואת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הפצועים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ובתפילת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שלם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ישלם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המבעיר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הבעירה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" 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ָּ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ֲ</w:t>
      </w:r>
      <w:r w:rsidDel="00000000" w:rsidR="00000000" w:rsidRPr="00000000">
        <w:rPr>
          <w:sz w:val="16"/>
          <w:szCs w:val="16"/>
          <w:rtl w:val="1"/>
        </w:rPr>
        <w:t xml:space="preserve">בו</w:t>
      </w:r>
      <w:r w:rsidDel="00000000" w:rsidR="00000000" w:rsidRPr="00000000">
        <w:rPr>
          <w:sz w:val="16"/>
          <w:szCs w:val="16"/>
          <w:rtl w:val="1"/>
        </w:rPr>
        <w:t xml:space="preserve">ֹ</w:t>
      </w:r>
      <w:r w:rsidDel="00000000" w:rsidR="00000000" w:rsidRPr="00000000">
        <w:rPr>
          <w:sz w:val="16"/>
          <w:szCs w:val="16"/>
          <w:rtl w:val="1"/>
        </w:rPr>
        <w:t xml:space="preserve">ת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נ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ז</w:t>
      </w:r>
      <w:r w:rsidDel="00000000" w:rsidR="00000000" w:rsidRPr="00000000">
        <w:rPr>
          <w:sz w:val="16"/>
          <w:szCs w:val="16"/>
          <w:rtl w:val="1"/>
        </w:rPr>
        <w:t xml:space="preserve">ִ</w:t>
      </w:r>
      <w:r w:rsidDel="00000000" w:rsidR="00000000" w:rsidRPr="00000000">
        <w:rPr>
          <w:sz w:val="16"/>
          <w:szCs w:val="16"/>
          <w:rtl w:val="1"/>
        </w:rPr>
        <w:t xml:space="preserve">יק</w:t>
      </w:r>
      <w:r w:rsidDel="00000000" w:rsidR="00000000" w:rsidRPr="00000000">
        <w:rPr>
          <w:sz w:val="16"/>
          <w:szCs w:val="16"/>
          <w:rtl w:val="1"/>
        </w:rPr>
        <w:t xml:space="preserve">ִ</w:t>
      </w:r>
      <w:r w:rsidDel="00000000" w:rsidR="00000000" w:rsidRPr="00000000">
        <w:rPr>
          <w:sz w:val="16"/>
          <w:szCs w:val="16"/>
          <w:rtl w:val="1"/>
        </w:rPr>
        <w:t xml:space="preserve">ין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ֵ</w:t>
      </w:r>
      <w:r w:rsidDel="00000000" w:rsidR="00000000" w:rsidRPr="00000000">
        <w:rPr>
          <w:sz w:val="16"/>
          <w:szCs w:val="16"/>
          <w:rtl w:val="1"/>
        </w:rPr>
        <w:t xml:space="preserve">ן</w:t>
      </w:r>
      <w:r w:rsidDel="00000000" w:rsidR="00000000" w:rsidRPr="00000000">
        <w:rPr>
          <w:sz w:val="16"/>
          <w:szCs w:val="16"/>
          <w:rtl w:val="1"/>
        </w:rPr>
        <w:t xml:space="preserve">. 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ז</w:t>
      </w:r>
      <w:r w:rsidDel="00000000" w:rsidR="00000000" w:rsidRPr="00000000">
        <w:rPr>
          <w:sz w:val="16"/>
          <w:szCs w:val="16"/>
          <w:rtl w:val="1"/>
        </w:rPr>
        <w:t xml:space="preserve">ְּ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ֵ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ו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ֲ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ִ</w:t>
      </w:r>
      <w:r w:rsidDel="00000000" w:rsidR="00000000" w:rsidRPr="00000000">
        <w:rPr>
          <w:sz w:val="16"/>
          <w:szCs w:val="16"/>
          <w:rtl w:val="1"/>
        </w:rPr>
        <w:t xml:space="preserve">י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ו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ד</w:t>
      </w:r>
      <w:r w:rsidDel="00000000" w:rsidR="00000000" w:rsidRPr="00000000">
        <w:rPr>
          <w:sz w:val="16"/>
          <w:szCs w:val="16"/>
          <w:rtl w:val="1"/>
        </w:rPr>
        <w:t xml:space="preserve">ֹּ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ו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גו</w:t>
      </w:r>
      <w:r w:rsidDel="00000000" w:rsidR="00000000" w:rsidRPr="00000000">
        <w:rPr>
          <w:sz w:val="16"/>
          <w:szCs w:val="16"/>
          <w:rtl w:val="1"/>
        </w:rPr>
        <w:t xml:space="preserve">ּ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ֵ</w:t>
      </w:r>
      <w:r w:rsidDel="00000000" w:rsidR="00000000" w:rsidRPr="00000000">
        <w:rPr>
          <w:sz w:val="16"/>
          <w:szCs w:val="16"/>
          <w:rtl w:val="1"/>
        </w:rPr>
        <w:t xml:space="preserve">יה</w:t>
      </w:r>
      <w:r w:rsidDel="00000000" w:rsidR="00000000" w:rsidRPr="00000000">
        <w:rPr>
          <w:sz w:val="16"/>
          <w:szCs w:val="16"/>
          <w:rtl w:val="1"/>
        </w:rPr>
        <w:t xml:space="preserve">ֶ</w:t>
      </w:r>
      <w:r w:rsidDel="00000000" w:rsidR="00000000" w:rsidRPr="00000000">
        <w:rPr>
          <w:sz w:val="16"/>
          <w:szCs w:val="16"/>
          <w:rtl w:val="1"/>
        </w:rPr>
        <w:t xml:space="preserve">ן</w:t>
      </w:r>
      <w:r w:rsidDel="00000000" w:rsidR="00000000" w:rsidRPr="00000000">
        <w:rPr>
          <w:sz w:val="16"/>
          <w:szCs w:val="16"/>
          <w:rtl w:val="1"/>
        </w:rPr>
        <w:t xml:space="preserve">.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1"/>
        </w:rPr>
        <w:t xml:space="preserve">ת</w:t>
      </w:r>
      <w:r w:rsidDel="00000000" w:rsidR="00000000" w:rsidRPr="00000000">
        <w:rPr>
          <w:sz w:val="16"/>
          <w:szCs w:val="16"/>
          <w:rtl w:val="1"/>
        </w:rPr>
        <w:t xml:space="preserve">ֵּ</w:t>
      </w:r>
      <w:r w:rsidDel="00000000" w:rsidR="00000000" w:rsidRPr="00000000">
        <w:rPr>
          <w:sz w:val="16"/>
          <w:szCs w:val="16"/>
          <w:rtl w:val="1"/>
        </w:rPr>
        <w:t xml:space="preserve">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ֶ</w:t>
      </w:r>
      <w:r w:rsidDel="00000000" w:rsidR="00000000" w:rsidRPr="00000000">
        <w:rPr>
          <w:sz w:val="16"/>
          <w:szCs w:val="16"/>
          <w:rtl w:val="1"/>
        </w:rPr>
        <w:t xml:space="preserve">ם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כ</w:t>
      </w:r>
      <w:r w:rsidDel="00000000" w:rsidR="00000000" w:rsidRPr="00000000">
        <w:rPr>
          <w:sz w:val="16"/>
          <w:szCs w:val="16"/>
          <w:rtl w:val="1"/>
        </w:rPr>
        <w:t xml:space="preserve">ְּ</w:t>
      </w:r>
      <w:r w:rsidDel="00000000" w:rsidR="00000000" w:rsidRPr="00000000">
        <w:rPr>
          <w:sz w:val="16"/>
          <w:szCs w:val="16"/>
          <w:rtl w:val="1"/>
        </w:rPr>
        <w:t xml:space="preserve">פ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ֳ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ם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ו</w:t>
      </w:r>
      <w:r w:rsidDel="00000000" w:rsidR="00000000" w:rsidRPr="00000000">
        <w:rPr>
          <w:sz w:val="16"/>
          <w:szCs w:val="16"/>
          <w:rtl w:val="1"/>
        </w:rPr>
        <w:t xml:space="preserve">ּ</w:t>
      </w:r>
      <w:r w:rsidDel="00000000" w:rsidR="00000000" w:rsidRPr="00000000">
        <w:rPr>
          <w:sz w:val="16"/>
          <w:szCs w:val="16"/>
          <w:rtl w:val="1"/>
        </w:rPr>
        <w:t xml:space="preserve">כ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ֹ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ַ </w:t>
      </w:r>
      <w:r w:rsidDel="00000000" w:rsidR="00000000" w:rsidRPr="00000000">
        <w:rPr>
          <w:sz w:val="16"/>
          <w:szCs w:val="16"/>
          <w:rtl w:val="1"/>
        </w:rPr>
        <w:t xml:space="preserve">מ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ֵ</w:t>
      </w:r>
      <w:r w:rsidDel="00000000" w:rsidR="00000000" w:rsidRPr="00000000">
        <w:rPr>
          <w:sz w:val="16"/>
          <w:szCs w:val="16"/>
          <w:rtl w:val="1"/>
        </w:rPr>
        <w:t xml:space="preserve">יה</w:t>
      </w:r>
      <w:r w:rsidDel="00000000" w:rsidR="00000000" w:rsidRPr="00000000">
        <w:rPr>
          <w:sz w:val="16"/>
          <w:szCs w:val="16"/>
          <w:rtl w:val="1"/>
        </w:rPr>
        <w:t xml:space="preserve">ֶ</w:t>
      </w:r>
      <w:r w:rsidDel="00000000" w:rsidR="00000000" w:rsidRPr="00000000">
        <w:rPr>
          <w:sz w:val="16"/>
          <w:szCs w:val="16"/>
          <w:rtl w:val="1"/>
        </w:rPr>
        <w:t xml:space="preserve">ם</w:t>
      </w:r>
      <w:r w:rsidDel="00000000" w:rsidR="00000000" w:rsidRPr="00000000">
        <w:rPr>
          <w:sz w:val="16"/>
          <w:szCs w:val="16"/>
          <w:rtl w:val="1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1"/>
        </w:rPr>
        <w:t xml:space="preserve">י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ֹ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ד</w:t>
      </w:r>
      <w:r w:rsidDel="00000000" w:rsidR="00000000" w:rsidRPr="00000000">
        <w:rPr>
          <w:sz w:val="16"/>
          <w:szCs w:val="16"/>
          <w:rtl w:val="1"/>
        </w:rPr>
        <w:t xml:space="preserve">ְּ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ך</w:t>
      </w:r>
      <w:r w:rsidDel="00000000" w:rsidR="00000000" w:rsidRPr="00000000">
        <w:rPr>
          <w:sz w:val="16"/>
          <w:szCs w:val="16"/>
          <w:rtl w:val="1"/>
        </w:rPr>
        <w:t xml:space="preserve">ָ </w:t>
      </w:r>
      <w:r w:rsidDel="00000000" w:rsidR="00000000" w:rsidRPr="00000000">
        <w:rPr>
          <w:sz w:val="16"/>
          <w:szCs w:val="16"/>
          <w:rtl w:val="1"/>
        </w:rPr>
        <w:t xml:space="preserve">ו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ֹ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י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ח</w:t>
      </w:r>
      <w:r w:rsidDel="00000000" w:rsidR="00000000" w:rsidRPr="00000000">
        <w:rPr>
          <w:sz w:val="16"/>
          <w:szCs w:val="16"/>
          <w:rtl w:val="1"/>
        </w:rPr>
        <w:t xml:space="preserve">ֵ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.... </w:t>
      </w:r>
    </w:p>
    <w:p w:rsidR="00000000" w:rsidDel="00000000" w:rsidP="00000000" w:rsidRDefault="00000000" w:rsidRPr="00000000" w14:paraId="00000006">
      <w:pPr>
        <w:bidi w:val="1"/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1"/>
        </w:rPr>
        <w:t xml:space="preserve">כ</w:t>
      </w:r>
      <w:r w:rsidDel="00000000" w:rsidR="00000000" w:rsidRPr="00000000">
        <w:rPr>
          <w:sz w:val="16"/>
          <w:szCs w:val="16"/>
          <w:rtl w:val="1"/>
        </w:rPr>
        <w:t xml:space="preserve">ִּ</w:t>
      </w:r>
      <w:r w:rsidDel="00000000" w:rsidR="00000000" w:rsidRPr="00000000">
        <w:rPr>
          <w:sz w:val="16"/>
          <w:szCs w:val="16"/>
          <w:rtl w:val="1"/>
        </w:rPr>
        <w:t xml:space="preserve">י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ִׁ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ַּ</w:t>
      </w:r>
      <w:r w:rsidDel="00000000" w:rsidR="00000000" w:rsidRPr="00000000">
        <w:rPr>
          <w:sz w:val="16"/>
          <w:szCs w:val="16"/>
          <w:rtl w:val="1"/>
        </w:rPr>
        <w:t xml:space="preserve">ח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ֶ</w:t>
      </w:r>
      <w:r w:rsidDel="00000000" w:rsidR="00000000" w:rsidRPr="00000000">
        <w:rPr>
          <w:sz w:val="16"/>
          <w:szCs w:val="16"/>
          <w:rtl w:val="1"/>
        </w:rPr>
        <w:t xml:space="preserve">ת</w:t>
      </w:r>
      <w:r w:rsidDel="00000000" w:rsidR="00000000" w:rsidRPr="00000000">
        <w:rPr>
          <w:sz w:val="16"/>
          <w:szCs w:val="16"/>
          <w:rtl w:val="1"/>
        </w:rPr>
        <w:t xml:space="preserve">־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ְּ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ֵ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ו</w:t>
      </w:r>
      <w:r w:rsidDel="00000000" w:rsidR="00000000" w:rsidRPr="00000000">
        <w:rPr>
          <w:sz w:val="16"/>
          <w:szCs w:val="16"/>
          <w:rtl w:val="1"/>
        </w:rPr>
        <w:t xml:space="preserve">ּ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ִ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ֵ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ִּ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ְׂ</w:t>
      </w:r>
      <w:r w:rsidDel="00000000" w:rsidR="00000000" w:rsidRPr="00000000">
        <w:rPr>
          <w:sz w:val="16"/>
          <w:szCs w:val="16"/>
          <w:rtl w:val="1"/>
        </w:rPr>
        <w:t xml:space="preserve">ד</w:t>
      </w:r>
      <w:r w:rsidDel="00000000" w:rsidR="00000000" w:rsidRPr="00000000">
        <w:rPr>
          <w:sz w:val="16"/>
          <w:szCs w:val="16"/>
          <w:rtl w:val="1"/>
        </w:rPr>
        <w:t xml:space="preserve">ֵ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ח</w:t>
      </w:r>
      <w:r w:rsidDel="00000000" w:rsidR="00000000" w:rsidRPr="00000000">
        <w:rPr>
          <w:sz w:val="16"/>
          <w:szCs w:val="16"/>
          <w:rtl w:val="1"/>
        </w:rPr>
        <w:t xml:space="preserve">ֵ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: </w:t>
      </w:r>
    </w:p>
    <w:p w:rsidR="00000000" w:rsidDel="00000000" w:rsidP="00000000" w:rsidRDefault="00000000" w:rsidRPr="00000000" w14:paraId="00000007">
      <w:pPr>
        <w:bidi w:val="1"/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־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ֵ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ֶּ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ֹ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־</w:t>
      </w:r>
      <w:r w:rsidDel="00000000" w:rsidR="00000000" w:rsidRPr="00000000">
        <w:rPr>
          <w:sz w:val="16"/>
          <w:szCs w:val="16"/>
          <w:rtl w:val="1"/>
        </w:rPr>
        <w:t xml:space="preserve">ת</w:t>
      </w:r>
      <w:r w:rsidDel="00000000" w:rsidR="00000000" w:rsidRPr="00000000">
        <w:rPr>
          <w:sz w:val="16"/>
          <w:szCs w:val="16"/>
          <w:rtl w:val="1"/>
        </w:rPr>
        <w:t xml:space="preserve">ִ</w:t>
      </w:r>
      <w:r w:rsidDel="00000000" w:rsidR="00000000" w:rsidRPr="00000000">
        <w:rPr>
          <w:sz w:val="16"/>
          <w:szCs w:val="16"/>
          <w:rtl w:val="1"/>
        </w:rPr>
        <w:t xml:space="preserve">פ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ק</w:t>
      </w:r>
      <w:r w:rsidDel="00000000" w:rsidR="00000000" w:rsidRPr="00000000">
        <w:rPr>
          <w:sz w:val="16"/>
          <w:szCs w:val="16"/>
          <w:rtl w:val="1"/>
        </w:rPr>
        <w:t xml:space="preserve">ֹ</w:t>
      </w:r>
      <w:r w:rsidDel="00000000" w:rsidR="00000000" w:rsidRPr="00000000">
        <w:rPr>
          <w:sz w:val="16"/>
          <w:szCs w:val="16"/>
          <w:rtl w:val="1"/>
        </w:rPr>
        <w:t xml:space="preserve">ד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ְּ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ף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ו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ֶ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ִׁ</w:t>
      </w:r>
      <w:r w:rsidDel="00000000" w:rsidR="00000000" w:rsidRPr="00000000">
        <w:rPr>
          <w:sz w:val="16"/>
          <w:szCs w:val="16"/>
          <w:rtl w:val="1"/>
        </w:rPr>
        <w:t xml:space="preserve">יב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ת</w:t>
      </w:r>
      <w:r w:rsidDel="00000000" w:rsidR="00000000" w:rsidRPr="00000000">
        <w:rPr>
          <w:sz w:val="16"/>
          <w:szCs w:val="16"/>
          <w:rtl w:val="1"/>
        </w:rPr>
        <w:t xml:space="preserve">ַּ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ְׁ</w:t>
      </w:r>
      <w:r w:rsidDel="00000000" w:rsidR="00000000" w:rsidRPr="00000000">
        <w:rPr>
          <w:sz w:val="16"/>
          <w:szCs w:val="16"/>
          <w:rtl w:val="1"/>
        </w:rPr>
        <w:t xml:space="preserve">לו</w:t>
      </w:r>
      <w:r w:rsidDel="00000000" w:rsidR="00000000" w:rsidRPr="00000000">
        <w:rPr>
          <w:sz w:val="16"/>
          <w:szCs w:val="16"/>
          <w:rtl w:val="1"/>
        </w:rPr>
        <w:t xml:space="preserve">ּ</w:t>
      </w:r>
      <w:r w:rsidDel="00000000" w:rsidR="00000000" w:rsidRPr="00000000">
        <w:rPr>
          <w:sz w:val="16"/>
          <w:szCs w:val="16"/>
          <w:rtl w:val="1"/>
        </w:rPr>
        <w:t xml:space="preserve">ם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נ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ח</w:t>
      </w:r>
      <w:r w:rsidDel="00000000" w:rsidR="00000000" w:rsidRPr="00000000">
        <w:rPr>
          <w:sz w:val="16"/>
          <w:szCs w:val="16"/>
          <w:rtl w:val="1"/>
        </w:rPr>
        <w:t xml:space="preserve">ֲ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ך</w:t>
      </w:r>
      <w:r w:rsidDel="00000000" w:rsidR="00000000" w:rsidRPr="00000000">
        <w:rPr>
          <w:sz w:val="16"/>
          <w:szCs w:val="16"/>
          <w:rtl w:val="1"/>
        </w:rPr>
        <w:t xml:space="preserve">ָ־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ָׁ</w:t>
      </w:r>
      <w:r w:rsidDel="00000000" w:rsidR="00000000" w:rsidRPr="00000000">
        <w:rPr>
          <w:sz w:val="16"/>
          <w:szCs w:val="16"/>
          <w:rtl w:val="1"/>
        </w:rPr>
        <w:t xml:space="preserve">פ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ֵׁ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ת</w:t>
      </w:r>
      <w:r w:rsidDel="00000000" w:rsidR="00000000" w:rsidRPr="00000000">
        <w:rPr>
          <w:sz w:val="16"/>
          <w:szCs w:val="16"/>
          <w:rtl w:val="1"/>
        </w:rPr>
        <w:t xml:space="preserve">ָּ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ִׁ</w:t>
      </w:r>
      <w:r w:rsidDel="00000000" w:rsidR="00000000" w:rsidRPr="00000000">
        <w:rPr>
          <w:sz w:val="16"/>
          <w:szCs w:val="16"/>
          <w:rtl w:val="1"/>
        </w:rPr>
        <w:t xml:space="preserve">יב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ִ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ֶ</w:t>
      </w:r>
      <w:r w:rsidDel="00000000" w:rsidR="00000000" w:rsidRPr="00000000">
        <w:rPr>
          <w:sz w:val="16"/>
          <w:szCs w:val="16"/>
          <w:rtl w:val="1"/>
        </w:rPr>
        <w:t xml:space="preserve">יה</w:t>
      </w:r>
      <w:r w:rsidDel="00000000" w:rsidR="00000000" w:rsidRPr="00000000">
        <w:rPr>
          <w:sz w:val="16"/>
          <w:szCs w:val="16"/>
          <w:rtl w:val="1"/>
        </w:rPr>
        <w:t xml:space="preserve">ָ 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ֲ</w:t>
      </w:r>
      <w:r w:rsidDel="00000000" w:rsidR="00000000" w:rsidRPr="00000000">
        <w:rPr>
          <w:sz w:val="16"/>
          <w:szCs w:val="16"/>
          <w:rtl w:val="1"/>
        </w:rPr>
        <w:t xml:space="preserve">ט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ַׁ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ֵּ</w:t>
      </w:r>
      <w:r w:rsidDel="00000000" w:rsidR="00000000" w:rsidRPr="00000000">
        <w:rPr>
          <w:sz w:val="16"/>
          <w:szCs w:val="16"/>
          <w:rtl w:val="1"/>
        </w:rPr>
        <w:t xml:space="preserve">ם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י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ַׁ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ֵּ</w:t>
      </w:r>
      <w:r w:rsidDel="00000000" w:rsidR="00000000" w:rsidRPr="00000000">
        <w:rPr>
          <w:sz w:val="16"/>
          <w:szCs w:val="16"/>
          <w:rtl w:val="1"/>
        </w:rPr>
        <w:t xml:space="preserve">ם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מ</w:t>
      </w:r>
      <w:r w:rsidDel="00000000" w:rsidR="00000000" w:rsidRPr="00000000">
        <w:rPr>
          <w:sz w:val="16"/>
          <w:szCs w:val="16"/>
          <w:rtl w:val="1"/>
        </w:rPr>
        <w:t xml:space="preserve">ַּ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ְ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ִ</w:t>
      </w:r>
      <w:r w:rsidDel="00000000" w:rsidR="00000000" w:rsidRPr="00000000">
        <w:rPr>
          <w:sz w:val="16"/>
          <w:szCs w:val="16"/>
          <w:rtl w:val="1"/>
        </w:rPr>
        <w:t xml:space="preserve">יר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ֶ</w:t>
      </w:r>
      <w:r w:rsidDel="00000000" w:rsidR="00000000" w:rsidRPr="00000000">
        <w:rPr>
          <w:sz w:val="16"/>
          <w:szCs w:val="16"/>
          <w:rtl w:val="1"/>
        </w:rPr>
        <w:t xml:space="preserve">ת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ַ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ְּ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ֵ</w:t>
      </w:r>
      <w:r w:rsidDel="00000000" w:rsidR="00000000" w:rsidRPr="00000000">
        <w:rPr>
          <w:sz w:val="16"/>
          <w:szCs w:val="16"/>
          <w:rtl w:val="1"/>
        </w:rPr>
        <w:t xml:space="preserve">ר</w:t>
      </w:r>
      <w:r w:rsidDel="00000000" w:rsidR="00000000" w:rsidRPr="00000000">
        <w:rPr>
          <w:sz w:val="16"/>
          <w:szCs w:val="16"/>
          <w:rtl w:val="1"/>
        </w:rPr>
        <w:t xml:space="preserve">ָ</w:t>
      </w:r>
      <w:r w:rsidDel="00000000" w:rsidR="00000000" w:rsidRPr="00000000">
        <w:rPr>
          <w:sz w:val="16"/>
          <w:szCs w:val="16"/>
          <w:rtl w:val="1"/>
        </w:rPr>
        <w:t xml:space="preserve">ה</w:t>
      </w:r>
      <w:r w:rsidDel="00000000" w:rsidR="00000000" w:rsidRPr="00000000">
        <w:rPr>
          <w:sz w:val="16"/>
          <w:szCs w:val="16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6"/>
          <w:szCs w:val="16"/>
          <w:rtl w:val="1"/>
        </w:rPr>
        <w:t xml:space="preserve">(</w:t>
      </w:r>
      <w:r w:rsidDel="00000000" w:rsidR="00000000" w:rsidRPr="00000000">
        <w:rPr>
          <w:sz w:val="16"/>
          <w:szCs w:val="16"/>
          <w:rtl w:val="1"/>
        </w:rPr>
        <w:t xml:space="preserve">מתוך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סליחות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לעשי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ת</w:t>
      </w:r>
      <w:r w:rsidDel="00000000" w:rsidR="00000000" w:rsidRPr="00000000">
        <w:rPr>
          <w:sz w:val="16"/>
          <w:szCs w:val="16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f549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פסוקים</w:t>
            </w:r>
          </w:hyperlink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שן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האם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היא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חלק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מאב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הנזק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"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מבעה</w:t>
            </w:r>
          </w:hyperlink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"?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הגדרות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היסוד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שן</w:t>
            </w:r>
          </w:hyperlink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סוגיית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היסוד</w:t>
            </w:r>
          </w:hyperlink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גדרי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הנאה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להיזק</w:t>
            </w:r>
          </w:hyperlink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4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גדרי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מכליא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קרנא</w:t>
            </w:r>
          </w:hyperlink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tl w:val="0"/>
              </w:rPr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ובער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בשדה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אחר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 –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חיוב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שן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רק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כאשר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השדה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גדורה</w:t>
            </w:r>
          </w:hyperlink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?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296"/>
            </w:tabs>
            <w:bidi w:val="1"/>
            <w:spacing w:after="100" w:before="0" w:line="360" w:lineRule="auto"/>
            <w:ind w:left="22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tl w:val="0"/>
              </w:rPr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אם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ישוך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הנחש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בלא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לחש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" –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תיקון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הנזק</w:t>
            </w:r>
          </w:hyperlink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bidi w:val="1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8">
      <w:pPr>
        <w:pStyle w:val="Heading2"/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bidi w:val="1"/>
        <w:rPr/>
      </w:pPr>
      <w:bookmarkStart w:colFirst="0" w:colLast="0" w:name="_30j0zll" w:id="1"/>
      <w:bookmarkEnd w:id="1"/>
      <w:r w:rsidDel="00000000" w:rsidR="00000000" w:rsidRPr="00000000">
        <w:rPr>
          <w:rtl w:val="1"/>
        </w:rPr>
        <w:t xml:space="preserve">פסוקים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b w:val="1"/>
          <w:rtl w:val="1"/>
        </w:rPr>
        <w:t xml:space="preserve">שמות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ִּ֤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ׁ֙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ֶ֣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ֹ־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ֶ֔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ִׁ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־&lt;</w:t>
      </w:r>
      <w:r w:rsidDel="00000000" w:rsidR="00000000" w:rsidRPr="00000000">
        <w:rPr>
          <w:rtl w:val="1"/>
        </w:rPr>
        <w:t xml:space="preserve">בעירה</w:t>
      </w:r>
      <w:r w:rsidDel="00000000" w:rsidR="00000000" w:rsidRPr="00000000">
        <w:rPr>
          <w:rtl w:val="1"/>
        </w:rPr>
        <w:t xml:space="preserve">&gt;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֔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ֵ֖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ֵ֣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ֵ֑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ַ֥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ֵ֛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ַ֥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֖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ֵּֽ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ִּֽ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ֵ֨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ֵ֜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ָ֤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ֱ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ַ֣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ִ֔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ׁ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֥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ָ֖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֣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ָּׂ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ֶ֑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ֵּ֣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ַׁ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ֵּ֔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ִ֖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־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ָֽ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1B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שורש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</w:t>
      </w:r>
      <w:r w:rsidDel="00000000" w:rsidR="00000000" w:rsidRPr="00000000">
        <w:rPr>
          <w:i w:val="1"/>
          <w:rtl w:val="1"/>
        </w:rPr>
        <w:t xml:space="preserve">.</w:t>
      </w:r>
      <w:r w:rsidDel="00000000" w:rsidR="00000000" w:rsidRPr="00000000">
        <w:rPr>
          <w:i w:val="1"/>
          <w:rtl w:val="1"/>
        </w:rPr>
        <w:t xml:space="preserve">ע</w:t>
      </w:r>
      <w:r w:rsidDel="00000000" w:rsidR="00000000" w:rsidRPr="00000000">
        <w:rPr>
          <w:i w:val="1"/>
          <w:rtl w:val="1"/>
        </w:rPr>
        <w:t xml:space="preserve">.</w:t>
      </w:r>
      <w:r w:rsidDel="00000000" w:rsidR="00000000" w:rsidRPr="00000000">
        <w:rPr>
          <w:i w:val="1"/>
          <w:rtl w:val="1"/>
        </w:rPr>
        <w:t xml:space="preserve">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במשמעות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כילוי</w:t>
      </w:r>
      <w:r w:rsidDel="00000000" w:rsidR="00000000" w:rsidRPr="00000000">
        <w:rPr>
          <w:i w:val="1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יט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יג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֥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ֵֽ</w:t>
      </w:r>
      <w:r w:rsidDel="00000000" w:rsidR="00000000" w:rsidRPr="00000000">
        <w:rPr>
          <w:rtl w:val="1"/>
        </w:rPr>
        <w:t xml:space="preserve">ינ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ָ֖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ָ֑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ִֽ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ָּ֧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ַֽ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ִ֛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ְׂ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ֵ֖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֥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ָֽ</w:t>
      </w:r>
      <w:r w:rsidDel="00000000" w:rsidR="00000000" w:rsidRPr="00000000">
        <w:rPr>
          <w:rtl w:val="1"/>
        </w:rPr>
        <w:t xml:space="preserve">ך</w:t>
      </w:r>
      <w:r w:rsidDel="00000000" w:rsidR="00000000" w:rsidRPr="00000000">
        <w:rPr>
          <w:rtl w:val="1"/>
        </w:rPr>
        <w:t xml:space="preserve">ְ: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טו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ַ֨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ִ֜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ֶּ֗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ַ֤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ֶּ֙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ּ֙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ֵ֔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ַ֥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ֶּ֖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ֵ֑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ַ֗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קו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ָ֣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ֱ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ָ֔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ִׂ֕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ֹ֖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ֶׁ֥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ית</w:t>
      </w:r>
      <w:r w:rsidDel="00000000" w:rsidR="00000000" w:rsidRPr="00000000">
        <w:rPr>
          <w:rtl w:val="1"/>
        </w:rPr>
        <w:t xml:space="preserve">ָֽ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 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b w:val="1"/>
          <w:rtl w:val="1"/>
        </w:rPr>
        <w:t xml:space="preserve">ישעיהו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ִֽ</w:t>
      </w:r>
      <w:r w:rsidDel="00000000" w:rsidR="00000000" w:rsidRPr="00000000">
        <w:rPr>
          <w:rtl w:val="1"/>
        </w:rPr>
        <w:t xml:space="preserve">יע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ָּ֣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ֶ֔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ֵ֛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ֶׁ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ִ֥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ֶׂ֖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ִ֑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ֵ֤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ֹ֙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ָ֣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ֵ֔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ֹ֥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֖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ָ֥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ָֽ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: 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b w:val="1"/>
          <w:rtl w:val="1"/>
        </w:rPr>
        <w:t xml:space="preserve">ישעיהו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ְׁ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ָּ֣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֔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ֵ֥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ּ֖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ֹ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ָׂ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ָ֑</w:t>
      </w:r>
      <w:r w:rsidDel="00000000" w:rsidR="00000000" w:rsidRPr="00000000">
        <w:rPr>
          <w:rtl w:val="1"/>
        </w:rPr>
        <w:t xml:space="preserve">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ִּֽ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ֶּ֣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ֶּ֔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ַ֥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ֶֽ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ִ֖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ֵּ</w:t>
      </w:r>
      <w:r w:rsidDel="00000000" w:rsidR="00000000" w:rsidRPr="00000000">
        <w:rPr>
          <w:rtl w:val="1"/>
        </w:rPr>
        <w:t xml:space="preserve">יכ</w:t>
      </w:r>
      <w:r w:rsidDel="00000000" w:rsidR="00000000" w:rsidRPr="00000000">
        <w:rPr>
          <w:rtl w:val="1"/>
        </w:rPr>
        <w:t xml:space="preserve">ֶֽ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בעירנו</w:t>
      </w:r>
      <w:r w:rsidDel="00000000" w:rsidR="00000000" w:rsidRPr="00000000">
        <w:rPr>
          <w:i w:val="1"/>
          <w:rtl w:val="1"/>
        </w:rPr>
        <w:t xml:space="preserve">" </w:t>
      </w:r>
      <w:r w:rsidDel="00000000" w:rsidR="00000000" w:rsidRPr="00000000">
        <w:rPr>
          <w:i w:val="1"/>
          <w:rtl w:val="1"/>
        </w:rPr>
        <w:t xml:space="preserve">במשמעות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צאן</w:t>
      </w:r>
      <w:r w:rsidDel="00000000" w:rsidR="00000000" w:rsidRPr="00000000">
        <w:rPr>
          <w:i w:val="1"/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b w:val="1"/>
          <w:rtl w:val="1"/>
        </w:rPr>
        <w:t xml:space="preserve">במדבר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ָ֤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ֵ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֙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ַ֣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ֹ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ָ֔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־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ִּ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ָּ֖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ַ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ֶּ֑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ָ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֣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ָׁ֔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ֲ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ַ֖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ּ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ְ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יר</w:t>
      </w:r>
      <w:r w:rsidDel="00000000" w:rsidR="00000000" w:rsidRPr="00000000">
        <w:rPr>
          <w:rtl w:val="1"/>
        </w:rPr>
        <w:t xml:space="preserve">ֵֽ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ּ:  </w:t>
      </w:r>
    </w:p>
    <w:p w:rsidR="00000000" w:rsidDel="00000000" w:rsidP="00000000" w:rsidRDefault="00000000" w:rsidRPr="00000000" w14:paraId="00000027">
      <w:pPr>
        <w:pStyle w:val="Heading2"/>
        <w:bidi w:val="1"/>
        <w:rPr/>
      </w:pPr>
      <w:bookmarkStart w:colFirst="0" w:colLast="0" w:name="_1fob9te" w:id="2"/>
      <w:bookmarkEnd w:id="2"/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"?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וילנא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מניין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המבעה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ישעי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משלחי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פרוץ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'...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חגיי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דאשתעי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אישתעיית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2B">
      <w:pPr>
        <w:bidi w:val="1"/>
        <w:rPr>
          <w:i w:val="1"/>
        </w:rPr>
      </w:pP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נחפשו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נבעו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מצפוניו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כדמתרגם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איתבליש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אתגלין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מטמרוהי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!... </w:t>
      </w:r>
      <w:r w:rsidDel="00000000" w:rsidR="00000000" w:rsidRPr="00000000">
        <w:rPr>
          <w:color w:val="ff0000"/>
          <w:rtl w:val="1"/>
        </w:rPr>
        <w:t xml:space="preserve">תלמוד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בבלי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מסכת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בבא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קמא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דף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ד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עמוד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color w:val="ff0000"/>
          <w:rtl w:val="1"/>
        </w:rPr>
        <w:t xml:space="preserve">א</w:t>
      </w:r>
      <w:r w:rsidDel="00000000" w:rsidR="00000000" w:rsidRPr="00000000">
        <w:rPr>
          <w:color w:val="ff0000"/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תנא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לרגלו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לשינו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i w:val="1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בעיו</w:t>
      </w:r>
      <w:r w:rsidDel="00000000" w:rsidR="00000000" w:rsidRPr="00000000">
        <w:rPr>
          <w:rtl w:val="1"/>
        </w:rPr>
        <w:t xml:space="preserve">;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כשמואל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pStyle w:val="Heading2"/>
        <w:bidi w:val="1"/>
        <w:rPr/>
      </w:pPr>
      <w:bookmarkStart w:colFirst="0" w:colLast="0" w:name="_3znysh7" w:id="3"/>
      <w:bookmarkEnd w:id="3"/>
      <w:r w:rsidDel="00000000" w:rsidR="00000000" w:rsidRPr="00000000">
        <w:rPr>
          <w:rtl w:val="1"/>
        </w:rPr>
        <w:t xml:space="preserve">הגדרות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pStyle w:val="Heading3"/>
        <w:bidi w:val="1"/>
        <w:rPr/>
      </w:pPr>
      <w:bookmarkStart w:colFirst="0" w:colLast="0" w:name="_2et92p0" w:id="4"/>
      <w:bookmarkEnd w:id="4"/>
      <w:r w:rsidDel="00000000" w:rsidR="00000000" w:rsidRPr="00000000">
        <w:rPr>
          <w:rtl w:val="1"/>
        </w:rPr>
        <w:t xml:space="preserve">סוגיית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והחמור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color w:val="ff0000"/>
          <w:rtl w:val="1"/>
        </w:rPr>
        <w:t xml:space="preserve">תלמוד</w:t>
      </w:r>
      <w:r w:rsidDel="00000000" w:rsidR="00000000" w:rsidRPr="00000000">
        <w:rPr>
          <w:b w:val="1"/>
          <w:color w:val="ff0000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1"/>
        </w:rPr>
        <w:t xml:space="preserve">בבלי</w:t>
      </w:r>
      <w:r w:rsidDel="00000000" w:rsidR="00000000" w:rsidRPr="00000000">
        <w:rPr>
          <w:b w:val="1"/>
          <w:color w:val="ff0000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1"/>
        </w:rPr>
        <w:t xml:space="preserve">מסכת</w:t>
      </w:r>
      <w:r w:rsidDel="00000000" w:rsidR="00000000" w:rsidRPr="00000000">
        <w:rPr>
          <w:b w:val="1"/>
          <w:color w:val="ff0000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1"/>
        </w:rPr>
        <w:t xml:space="preserve">בבא</w:t>
      </w:r>
      <w:r w:rsidDel="00000000" w:rsidR="00000000" w:rsidRPr="00000000">
        <w:rPr>
          <w:b w:val="1"/>
          <w:color w:val="ff0000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1"/>
        </w:rPr>
        <w:t xml:space="preserve">קמא</w:t>
      </w:r>
      <w:r w:rsidDel="00000000" w:rsidR="00000000" w:rsidRPr="00000000">
        <w:rPr>
          <w:b w:val="1"/>
          <w:color w:val="ff0000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1"/>
        </w:rPr>
        <w:t xml:space="preserve">דף</w:t>
      </w:r>
      <w:r w:rsidDel="00000000" w:rsidR="00000000" w:rsidRPr="00000000">
        <w:rPr>
          <w:b w:val="1"/>
          <w:color w:val="ff0000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1"/>
        </w:rPr>
        <w:t xml:space="preserve">ג</w:t>
      </w:r>
      <w:r w:rsidDel="00000000" w:rsidR="00000000" w:rsidRPr="00000000">
        <w:rPr>
          <w:b w:val="1"/>
          <w:color w:val="ff0000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1"/>
        </w:rPr>
        <w:t xml:space="preserve">עמוד</w:t>
      </w:r>
      <w:r w:rsidDel="00000000" w:rsidR="00000000" w:rsidRPr="00000000">
        <w:rPr>
          <w:b w:val="1"/>
          <w:color w:val="ff0000"/>
          <w:rtl w:val="1"/>
        </w:rPr>
        <w:t xml:space="preserve"> </w:t>
      </w:r>
      <w:r w:rsidDel="00000000" w:rsidR="00000000" w:rsidRPr="00000000">
        <w:rPr>
          <w:b w:val="1"/>
          <w:color w:val="ff0000"/>
          <w:rtl w:val="1"/>
        </w:rPr>
        <w:t xml:space="preserve">א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1"/>
        </w:rPr>
        <w:t xml:space="preserve">הגלל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דאוקימנא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משלחי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בם</w:t>
      </w:r>
      <w:r w:rsidDel="00000000" w:rsidR="00000000" w:rsidRPr="00000000">
        <w:rPr>
          <w:rtl w:val="1"/>
        </w:rPr>
        <w:t xml:space="preserve">!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נתחככה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וטינפה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וממונך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וממונך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הילוכה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בפרומביא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שבצוארה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דהזיקו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וממונך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וממונך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pStyle w:val="Heading3"/>
        <w:bidi w:val="1"/>
        <w:rPr/>
      </w:pPr>
      <w:bookmarkStart w:colFirst="0" w:colLast="0" w:name="_tyjcwt" w:id="5"/>
      <w:bookmarkEnd w:id="5"/>
      <w:r w:rsidDel="00000000" w:rsidR="00000000" w:rsidRPr="00000000">
        <w:rPr>
          <w:rtl w:val="1"/>
        </w:rPr>
        <w:t xml:space="preserve">גדרי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להיזק</w:t>
      </w:r>
    </w:p>
    <w:p w:rsidR="00000000" w:rsidDel="00000000" w:rsidP="00000000" w:rsidRDefault="00000000" w:rsidRPr="00000000" w14:paraId="00000037">
      <w:pPr>
        <w:bidi w:val="1"/>
        <w:rPr>
          <w:i w:val="1"/>
          <w:u w:val="single"/>
        </w:rPr>
      </w:pPr>
      <w:r w:rsidDel="00000000" w:rsidR="00000000" w:rsidRPr="00000000">
        <w:rPr>
          <w:i w:val="1"/>
          <w:rtl w:val="1"/>
        </w:rPr>
        <w:t xml:space="preserve">הנאה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מההיזק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כשיקול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u w:val="single"/>
          <w:rtl w:val="1"/>
        </w:rPr>
        <w:t xml:space="preserve">לקולא</w:t>
      </w:r>
    </w:p>
    <w:p w:rsidR="00000000" w:rsidDel="00000000" w:rsidP="00000000" w:rsidRDefault="00000000" w:rsidRPr="00000000" w14:paraId="0000003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ופשיעה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להנאתו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ההנאה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טינפה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פירות</w:t>
      </w:r>
      <w:r w:rsidDel="00000000" w:rsidR="00000000" w:rsidRPr="00000000">
        <w:rPr>
          <w:i w:val="1"/>
          <w:rtl w:val="1"/>
        </w:rPr>
        <w:t xml:space="preserve">"- </w:t>
      </w:r>
      <w:r w:rsidDel="00000000" w:rsidR="00000000" w:rsidRPr="00000000">
        <w:rPr>
          <w:i w:val="1"/>
          <w:rtl w:val="1"/>
        </w:rPr>
        <w:t xml:space="preserve">הנאה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ישירה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עקיפה</w:t>
      </w:r>
      <w:r w:rsidDel="00000000" w:rsidR="00000000" w:rsidRPr="00000000">
        <w:rPr>
          <w:i w:val="1"/>
          <w:rtl w:val="1"/>
        </w:rPr>
        <w:t xml:space="preserve">?</w:t>
      </w:r>
    </w:p>
    <w:p w:rsidR="00000000" w:rsidDel="00000000" w:rsidP="00000000" w:rsidRDefault="00000000" w:rsidRPr="00000000" w14:paraId="0000003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. "</w:t>
      </w:r>
      <w:r w:rsidDel="00000000" w:rsidR="00000000" w:rsidRPr="00000000">
        <w:rPr>
          <w:b w:val="1"/>
          <w:rtl w:val="1"/>
        </w:rPr>
        <w:t xml:space="preserve">תולדה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דשן</w:t>
      </w:r>
      <w:r w:rsidDel="00000000" w:rsidR="00000000" w:rsidRPr="00000000">
        <w:rPr>
          <w:b w:val="1"/>
          <w:rtl w:val="1"/>
        </w:rPr>
        <w:t xml:space="preserve">...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שנהנתה</w:t>
      </w:r>
      <w:r w:rsidDel="00000000" w:rsidR="00000000" w:rsidRPr="00000000">
        <w:rPr>
          <w:b w:val="1"/>
          <w:rtl w:val="1"/>
        </w:rPr>
        <w:t xml:space="preserve">"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וטינפה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מצטערת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נתחככה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והפילתו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שנתגלגלה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עליהן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סוסים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וחמורים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דדחיק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ובשלא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להנאתה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עסקינן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במשלשלת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להנאתה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ואפ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נינהו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הזיקא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דגופה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צרורות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נינהו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טנפה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שנתגלגלה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בולטר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ירושלמי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וילנא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כרשינין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שליקלק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כשדרסה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?...    </w:t>
      </w:r>
    </w:p>
    <w:p w:rsidR="00000000" w:rsidDel="00000000" w:rsidP="00000000" w:rsidRDefault="00000000" w:rsidRPr="00000000" w14:paraId="00000044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הגדרת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הנאה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בסוגיית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חיות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הטרף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והנחש</w:t>
      </w:r>
      <w:r w:rsidDel="00000000" w:rsidR="00000000" w:rsidRPr="00000000">
        <w:rPr>
          <w:i w:val="1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והנחש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7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ובמידי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דאורחייהו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הניזק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נחש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מנשיכתו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דתענית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שנתקבצו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דאורחיה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כמו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רגל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דאייעד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דמתכוין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להזיק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אחריני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b w:val="1"/>
          <w:rtl w:val="1"/>
        </w:rPr>
        <w:t xml:space="preserve">וסבור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הנחש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שנשך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דשן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בנשיכתו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דתענית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שמתקבצות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נפיק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מתולדה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דשן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נ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מתולדה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דרגל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בנזק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הניזק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ההנאה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שם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המזיק</w:t>
      </w:r>
      <w:r w:rsidDel="00000000" w:rsidR="00000000" w:rsidRPr="00000000">
        <w:rPr>
          <w:i w:val="1"/>
          <w:rtl w:val="1"/>
        </w:rPr>
        <w:t xml:space="preserve">"?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מתחילתה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...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להזיקה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בעירה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50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מדוע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מציע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תוספות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שיותר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הגיוני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לחייב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שהזיקה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להקדש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הנזיקין</w:t>
      </w:r>
      <w:r w:rsidDel="00000000" w:rsidR="00000000" w:rsidRPr="00000000">
        <w:rPr>
          <w:i w:val="1"/>
          <w:rtl w:val="1"/>
        </w:rPr>
        <w:t xml:space="preserve">?</w:t>
      </w:r>
    </w:p>
    <w:p w:rsidR="00000000" w:rsidDel="00000000" w:rsidP="00000000" w:rsidRDefault="00000000" w:rsidRPr="00000000" w14:paraId="0000005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קונטרסי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שיעורים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גוסטמאן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שיעור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מצ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).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להבנת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מושג</w:t>
      </w:r>
      <w:r w:rsidDel="00000000" w:rsidR="00000000" w:rsidRPr="00000000">
        <w:rPr>
          <w:b w:val="1"/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המזיק</w:t>
      </w:r>
      <w:r w:rsidDel="00000000" w:rsidR="00000000" w:rsidRPr="00000000">
        <w:rPr>
          <w:b w:val="1"/>
          <w:rtl w:val="1"/>
        </w:rPr>
        <w:t xml:space="preserve">", </w:t>
      </w:r>
      <w:r w:rsidDel="00000000" w:rsidR="00000000" w:rsidRPr="00000000">
        <w:rPr>
          <w:b w:val="1"/>
          <w:rtl w:val="1"/>
        </w:rPr>
        <w:t xml:space="preserve">עיינו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בקונטרסי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שיעורים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שיעור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 (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53">
      <w:pPr>
        <w:pStyle w:val="Heading3"/>
        <w:bidi w:val="1"/>
        <w:rPr/>
      </w:pPr>
      <w:bookmarkStart w:colFirst="0" w:colLast="0" w:name="_3dy6vkm" w:id="6"/>
      <w:bookmarkEnd w:id="6"/>
      <w:r w:rsidDel="00000000" w:rsidR="00000000" w:rsidRPr="00000000">
        <w:rPr>
          <w:rtl w:val="1"/>
        </w:rPr>
        <w:t xml:space="preserve">גדרי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</w:p>
    <w:p w:rsidR="00000000" w:rsidDel="00000000" w:rsidP="00000000" w:rsidRDefault="00000000" w:rsidRPr="00000000" w14:paraId="00000054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הגדרת</w:t>
      </w:r>
      <w:r w:rsidDel="00000000" w:rsidR="00000000" w:rsidRPr="00000000">
        <w:rPr>
          <w:i w:val="1"/>
          <w:rtl w:val="1"/>
        </w:rPr>
        <w:t xml:space="preserve"> "</w:t>
      </w:r>
      <w:r w:rsidDel="00000000" w:rsidR="00000000" w:rsidRPr="00000000">
        <w:rPr>
          <w:i w:val="1"/>
          <w:rtl w:val="1"/>
        </w:rPr>
        <w:t xml:space="preserve">מכליא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קרנא</w:t>
      </w:r>
      <w:r w:rsidDel="00000000" w:rsidR="00000000" w:rsidRPr="00000000">
        <w:rPr>
          <w:i w:val="1"/>
          <w:rtl w:val="1"/>
        </w:rPr>
        <w:t xml:space="preserve">"</w:t>
      </w:r>
    </w:p>
    <w:p w:rsidR="00000000" w:rsidDel="00000000" w:rsidP="00000000" w:rsidRDefault="00000000" w:rsidRPr="00000000" w14:paraId="0000005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כתחלה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לקצור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לטניפת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דפשטיה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b w:val="1"/>
          <w:rtl w:val="1"/>
        </w:rPr>
        <w:t xml:space="preserve">רשימות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שיעורים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רי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סולובייצ</w:t>
      </w:r>
      <w:r w:rsidDel="00000000" w:rsidR="00000000" w:rsidRPr="00000000">
        <w:rPr>
          <w:b w:val="1"/>
          <w:rtl w:val="1"/>
        </w:rPr>
        <w:t xml:space="preserve">'</w:t>
      </w:r>
      <w:r w:rsidDel="00000000" w:rsidR="00000000" w:rsidRPr="00000000">
        <w:rPr>
          <w:b w:val="1"/>
          <w:rtl w:val="1"/>
        </w:rPr>
        <w:t xml:space="preserve">יק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שפטור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שצמחו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שצומח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מחלוקתם</w:t>
      </w:r>
      <w:r w:rsidDel="00000000" w:rsidR="00000000" w:rsidRPr="00000000">
        <w:rPr>
          <w:rtl w:val="1"/>
        </w:rPr>
        <w:t xml:space="preserve">....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נחום</w:t>
      </w:r>
      <w:r w:rsidDel="00000000" w:rsidR="00000000" w:rsidRPr="00000000">
        <w:rPr>
          <w:b w:val="1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כילוי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דאלמלא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הילפותא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שלפרש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יסוד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החילוק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הניזוק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דאלמלא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דושילח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דנזקי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נא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הניזוק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נתכלה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לגמרי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אנזקי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להיקשא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[</w:t>
      </w:r>
      <w:r w:rsidDel="00000000" w:rsidR="00000000" w:rsidRPr="00000000">
        <w:rPr>
          <w:b w:val="1"/>
          <w:rtl w:val="1"/>
        </w:rPr>
        <w:t xml:space="preserve">להרחבה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ושטמ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הסוגיה</w:t>
      </w:r>
      <w:r w:rsidDel="00000000" w:rsidR="00000000" w:rsidRPr="00000000">
        <w:rPr>
          <w:b w:val="1"/>
          <w:rtl w:val="1"/>
        </w:rPr>
        <w:t xml:space="preserve">]</w:t>
      </w:r>
    </w:p>
    <w:p w:rsidR="00000000" w:rsidDel="00000000" w:rsidP="00000000" w:rsidRDefault="00000000" w:rsidRPr="00000000" w14:paraId="0000005E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סתירת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הסוגיות</w:t>
      </w:r>
      <w:r w:rsidDel="00000000" w:rsidR="00000000" w:rsidRPr="00000000">
        <w:rPr>
          <w:i w:val="1"/>
          <w:rtl w:val="1"/>
        </w:rPr>
        <w:t xml:space="preserve"> – </w:t>
      </w:r>
      <w:r w:rsidDel="00000000" w:rsidR="00000000" w:rsidRPr="00000000">
        <w:rPr>
          <w:i w:val="1"/>
          <w:rtl w:val="1"/>
        </w:rPr>
        <w:t xml:space="preserve">האם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אכן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חייב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רק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במכליא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קרנא</w:t>
      </w:r>
      <w:r w:rsidDel="00000000" w:rsidR="00000000" w:rsidRPr="00000000">
        <w:rPr>
          <w:i w:val="1"/>
          <w:rtl w:val="1"/>
        </w:rPr>
        <w:t xml:space="preserve">?!</w:t>
      </w:r>
    </w:p>
    <w:p w:rsidR="00000000" w:rsidDel="00000000" w:rsidP="00000000" w:rsidRDefault="00000000" w:rsidRPr="00000000" w14:paraId="0000005F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דאוקימנא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דאיבעיא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שנתחככה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זוטרא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דפסעי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פסועי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דשף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כשנתחככה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דפסעי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פסועי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כשנתגלגלה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תחבתן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ללקטן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ששפכה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בגלגולה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rPr>
          <w:i w:val="1"/>
        </w:rPr>
      </w:pPr>
      <w:r w:rsidDel="00000000" w:rsidR="00000000" w:rsidRPr="00000000">
        <w:rPr>
          <w:i w:val="1"/>
          <w:rtl w:val="1"/>
        </w:rPr>
        <w:t xml:space="preserve">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הסתירה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בין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הסוגיות</w:t>
      </w:r>
      <w:r w:rsidDel="00000000" w:rsidR="00000000" w:rsidRPr="00000000">
        <w:rPr>
          <w:i w:val="1"/>
          <w:rtl w:val="1"/>
        </w:rPr>
        <w:t xml:space="preserve">? </w:t>
      </w:r>
      <w:r w:rsidDel="00000000" w:rsidR="00000000" w:rsidRPr="00000000">
        <w:rPr>
          <w:i w:val="1"/>
          <w:rtl w:val="1"/>
        </w:rPr>
        <w:t xml:space="preserve">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ההיגיון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שנחייב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קרן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רק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מכליא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קרנא</w:t>
      </w:r>
      <w:r w:rsidDel="00000000" w:rsidR="00000000" w:rsidRPr="00000000">
        <w:rPr>
          <w:i w:val="1"/>
          <w:rtl w:val="1"/>
        </w:rPr>
        <w:t xml:space="preserve">"?</w:t>
      </w:r>
    </w:p>
    <w:p w:rsidR="00000000" w:rsidDel="00000000" w:rsidP="00000000" w:rsidRDefault="00000000" w:rsidRPr="00000000" w14:paraId="0000006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דמכילתין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כשנתחככה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המאירי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/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להצמיח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בנתחככה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להנאתה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מכליא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בששלחה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באזלא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נשתלחה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ועקר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בנשתלחה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שנתלכלך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E">
      <w:pPr>
        <w:pStyle w:val="Heading2"/>
        <w:bidi w:val="1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גדורה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הנהו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דליצנעינהו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איזיל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אזילנא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לגדור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כשחתרה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דנפיל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בליליא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b w:val="1"/>
          <w:rtl w:val="1"/>
        </w:rPr>
        <w:t xml:space="preserve">רבינו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חננאל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הנהו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אצנעינהו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איפריכא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יכלי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בארעיה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דדחויא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b w:val="1"/>
          <w:rtl w:val="1"/>
        </w:rPr>
        <w:t xml:space="preserve">רא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סימן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אישתמוטי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לדאביי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כאביי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כשמוליכה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כשמתפשטים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77">
      <w:pPr>
        <w:pStyle w:val="Heading2"/>
        <w:bidi w:val="1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</w:t>
      </w:r>
      <w:r w:rsidDel="00000000" w:rsidR="00000000" w:rsidRPr="00000000">
        <w:rPr>
          <w:rtl w:val="1"/>
        </w:rPr>
        <w:t xml:space="preserve">" –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הנזק</w:t>
      </w:r>
    </w:p>
    <w:p w:rsidR="00000000" w:rsidDel="00000000" w:rsidP="00000000" w:rsidRDefault="00000000" w:rsidRPr="00000000" w14:paraId="00000078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תיקון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הנזיקין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כתיקון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פקודיך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המחשבה</w:t>
      </w:r>
      <w:r w:rsidDel="00000000" w:rsidR="00000000" w:rsidRPr="00000000">
        <w:rPr>
          <w:b w:val="1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איתערותא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התעוררות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ולהפריד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יבינו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07B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תיקון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נחש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שבאדם</w:t>
      </w:r>
      <w:r w:rsidDel="00000000" w:rsidR="00000000" w:rsidRPr="00000000">
        <w:rPr>
          <w:b w:val="1"/>
          <w:rtl w:val="1"/>
        </w:rPr>
        <w:t xml:space="preserve">" </w:t>
      </w:r>
      <w:r w:rsidDel="00000000" w:rsidR="00000000" w:rsidRPr="00000000">
        <w:rPr>
          <w:b w:val="1"/>
          <w:rtl w:val="1"/>
        </w:rPr>
        <w:t xml:space="preserve">כתיקון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הנזק</w:t>
      </w:r>
      <w:r w:rsidDel="00000000" w:rsidR="00000000" w:rsidRPr="00000000">
        <w:rPr>
          <w:b w:val="1"/>
          <w:rtl w:val="1"/>
        </w:rPr>
        <w:t xml:space="preserve">: </w:t>
      </w:r>
    </w:p>
    <w:p w:rsidR="00000000" w:rsidDel="00000000" w:rsidP="00000000" w:rsidRDefault="00000000" w:rsidRPr="00000000" w14:paraId="0000007C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הזאב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ברדלס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נפרזא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נפרזא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אפא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מיתיבי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נקיבה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עטלף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עטלף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ערפד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ערפד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חוח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שדרו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נחש</w:t>
      </w:r>
      <w:r w:rsidDel="00000000" w:rsidR="00000000" w:rsidRPr="00000000">
        <w:rPr>
          <w:b w:val="1"/>
          <w:rtl w:val="1"/>
        </w:rPr>
        <w:t xml:space="preserve">; </w:t>
      </w:r>
      <w:r w:rsidDel="00000000" w:rsidR="00000000" w:rsidRPr="00000000">
        <w:rPr>
          <w:b w:val="1"/>
          <w:rtl w:val="1"/>
        </w:rPr>
        <w:t xml:space="preserve">והני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במודים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זקיף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זקיף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כחויא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גליון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2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תלמוד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1"/>
        </w:rPr>
        <w:t xml:space="preserve">הזאב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ברדלס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נפרזא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נפרזא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1"/>
        </w:rPr>
        <w:t xml:space="preserve">מיתיבי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אפא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נקיבה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צבוע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עטלף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עטלף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ערפד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ערפד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שדרו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נחש</w:t>
      </w:r>
      <w:r w:rsidDel="00000000" w:rsidR="00000000" w:rsidRPr="00000000">
        <w:rPr>
          <w:b w:val="1"/>
          <w:rtl w:val="1"/>
        </w:rPr>
        <w:t xml:space="preserve">; </w:t>
      </w:r>
      <w:r w:rsidDel="00000000" w:rsidR="00000000" w:rsidRPr="00000000">
        <w:rPr>
          <w:b w:val="1"/>
          <w:rtl w:val="1"/>
        </w:rPr>
        <w:t xml:space="preserve">והני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במודים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תוספות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במודים</w:t>
      </w:r>
      <w:r w:rsidDel="00000000" w:rsidR="00000000" w:rsidRPr="00000000">
        <w:rPr>
          <w:rtl w:val="1"/>
        </w:rPr>
        <w:t xml:space="preserve"> –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שמצוה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לכרוע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זקיף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זקיף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כחויא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כדאשכחן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במסכת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עונשו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שגנאי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מפרשים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דאמרינן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בשדרו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לשורפו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והשתא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סברא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עונש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דהא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נתיבות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עולם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הנחש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סוטה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גחונך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ממדריגה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שהשדרה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בפרט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הנחש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הדמיון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הנחש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השדרה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בזקיפה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השדרה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לנחש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בזקיפה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וזקיפתו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זקיפתו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b w:val="1"/>
          <w:rtl w:val="1"/>
        </w:rPr>
        <w:t xml:space="preserve">ויש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בעמקי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החכמה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השדרה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ההולך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הצדדין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באמצע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האמצע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נחשב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הנחש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השדרה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הנחש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ונתבטל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צורתו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נחש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השדרה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מתקשרים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לגמרי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ידועים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לבעלי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חכמה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וקאמר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העלה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מיטב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ומיטב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הניזק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107)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הבעיר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סעיף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57)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פיצוי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משפטית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וביחוד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הנביא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בערתם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גזלת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בבתיכם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ומקפידה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העונש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עונש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העידית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ממיטב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וממיטב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המזיק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קאסוטו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</w:p>
  </w:footnote>
  <w:footnote w:id="1"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ישעיהו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ִׂ֖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ִֽׁ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ֶׂ֖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</w:footnote>
  <w:footnote w:id="2"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ולדומיננטיות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והמאבק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יעקב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3"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בפסוקים</w:t>
      </w:r>
    </w:p>
  </w:footnote>
  <w:footnote w:id="4"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ישעיהו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ּׁ֖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</w:t>
      </w:r>
    </w:p>
  </w:footnote>
  <w:footnote w:id="5"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ֵּ֣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ְׂ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ֹ:</w:t>
      </w:r>
    </w:p>
  </w:footnote>
  <w:footnote w:id="6"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ֻ֥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ַׁ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ָּ֔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ַ֖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ֵ֥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ָֽ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</w:footnote>
  <w:footnote w:id="7"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ודוחה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8"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לסוגיה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המלאה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הטרף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ניכנס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ומועדות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שמעוררת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קשיים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ושיטת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מהשיטות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שהבאתי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הרלוונטי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ורגל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  <w:footnote w:id="9"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פרצוביץ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תרפ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(1923)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למשפחת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קיבל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מגדולי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ליטא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ליבוביץ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ורבי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אלחנן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וסרמן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מבכירי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בישיבת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לשנחאי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שמואלביץ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(1965)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מראשי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והעמיד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תלמידים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ממושכת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(1986).</w:t>
      </w:r>
    </w:p>
  </w:footnote>
  <w:footnote w:id="10"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ביוגרפיה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פקודיך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אלימלך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שפירא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מדינוב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(1785).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מתלמידיהם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הקרובים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יעקב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יצחק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הורוביץ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מלובלין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מגדולי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גילה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משבט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יששכר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יששכר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</w:p>
  </w:footnote>
  <w:footnote w:id="11"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קסד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יזקוף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ויתקיים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לתחיית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מתייא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במודים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אתעביד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זמנא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</w:t>
      </w:r>
    </w:p>
  </w:footnote>
  <w:footnote w:id="12"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תורת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קמא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טז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זקופה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ככופר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הודאתו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הודאה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כדאשכחן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ואבירם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שכפרו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כתיב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נצבים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זקופה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ואמרו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לפתות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זקופה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לכפור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נענש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גחונך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דרגלים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ונקצצו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ואפשר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דמהאי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טעמא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במודים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שעומד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בקומה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זקופה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כורע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ומתכוין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חסדיו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ככופר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הקדמוני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הכפירות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והדעות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החיצוניות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נמשכין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שכתבו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מתגבר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ומבקש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להמיתו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דהיינו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נצחית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רפואה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כדאיתא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מתרפאין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ונמצא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דכיון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דשדרתו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שדרתו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יצמח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לעתיד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