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ותולדותיהן</w:t>
      </w:r>
    </w:p>
    <w:p w:rsidR="00000000" w:rsidDel="00000000" w:rsidP="00000000" w:rsidRDefault="00000000" w:rsidRPr="00000000" w14:paraId="00000002">
      <w:pPr>
        <w:bidi w:val="1"/>
        <w:jc w:val="center"/>
        <w:rPr/>
      </w:pP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האבות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פסוקים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כמה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אבות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משנתנו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למשנה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'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אושעיא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ור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'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חייא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זהות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ארבע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האבות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מחלוקת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האמוראים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התולדות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צריך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מקור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לדין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תולדות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בנזיקין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דמיון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התולדות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לאבות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כדמיון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פנימי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תולדותיהן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כיוצא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בהן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או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לאו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כיוצא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בהן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אבות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ותולדות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עולם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הרמז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מדוע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המשנה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שנתה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"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ארבעה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אבות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נזיקין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הן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"?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המילה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"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נזיקין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bidi w:val="1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1">
      <w:pPr>
        <w:pStyle w:val="Heading2"/>
        <w:bidi w:val="1"/>
        <w:rPr/>
      </w:pPr>
      <w:bookmarkStart w:colFirst="0" w:colLast="0" w:name="_1fob9te" w:id="2"/>
      <w:bookmarkEnd w:id="2"/>
      <w:r w:rsidDel="00000000" w:rsidR="00000000" w:rsidRPr="00000000">
        <w:rPr>
          <w:rtl w:val="1"/>
        </w:rPr>
        <w:t xml:space="preserve">האבות</w:t>
      </w:r>
    </w:p>
    <w:p w:rsidR="00000000" w:rsidDel="00000000" w:rsidP="00000000" w:rsidRDefault="00000000" w:rsidRPr="00000000" w14:paraId="00000012">
      <w:pPr>
        <w:pStyle w:val="Heading3"/>
        <w:bidi w:val="1"/>
        <w:rPr/>
      </w:pPr>
      <w:bookmarkStart w:colFirst="0" w:colLast="0" w:name="_3znysh7" w:id="3"/>
      <w:bookmarkEnd w:id="3"/>
      <w:r w:rsidDel="00000000" w:rsidR="00000000" w:rsidRPr="00000000">
        <w:rPr>
          <w:rtl w:val="1"/>
        </w:rPr>
        <w:t xml:space="preserve">פסוקים</w:t>
      </w:r>
      <w:r w:rsidDel="00000000" w:rsidR="00000000" w:rsidRPr="00000000">
        <w:rPr>
          <w:rtl w:val="1"/>
        </w:rPr>
        <w:t xml:space="preserve"> – </w:t>
      </w:r>
    </w:p>
    <w:p w:rsidR="00000000" w:rsidDel="00000000" w:rsidP="00000000" w:rsidRDefault="00000000" w:rsidRPr="00000000" w14:paraId="00000013">
      <w:pPr>
        <w:bidi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1"/>
        </w:rPr>
        <w:t xml:space="preserve">עיינו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שוב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בשמות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כא</w:t>
      </w:r>
      <w:r w:rsidDel="00000000" w:rsidR="00000000" w:rsidRPr="00000000">
        <w:rPr>
          <w:i w:val="1"/>
          <w:sz w:val="20"/>
          <w:szCs w:val="20"/>
          <w:rtl w:val="1"/>
        </w:rPr>
        <w:t xml:space="preserve">-</w:t>
      </w:r>
      <w:r w:rsidDel="00000000" w:rsidR="00000000" w:rsidRPr="00000000">
        <w:rPr>
          <w:i w:val="1"/>
          <w:sz w:val="20"/>
          <w:szCs w:val="20"/>
          <w:rtl w:val="1"/>
        </w:rPr>
        <w:t xml:space="preserve">כב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האם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המבנה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של</w:t>
      </w:r>
      <w:r w:rsidDel="00000000" w:rsidR="00000000" w:rsidRPr="00000000">
        <w:rPr>
          <w:i w:val="1"/>
          <w:sz w:val="20"/>
          <w:szCs w:val="20"/>
          <w:rtl w:val="1"/>
        </w:rPr>
        <w:t xml:space="preserve"> "</w:t>
      </w:r>
      <w:r w:rsidDel="00000000" w:rsidR="00000000" w:rsidRPr="00000000">
        <w:rPr>
          <w:i w:val="1"/>
          <w:sz w:val="20"/>
          <w:szCs w:val="20"/>
          <w:rtl w:val="1"/>
        </w:rPr>
        <w:t xml:space="preserve">ארבע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אבות</w:t>
      </w:r>
      <w:r w:rsidDel="00000000" w:rsidR="00000000" w:rsidRPr="00000000">
        <w:rPr>
          <w:i w:val="1"/>
          <w:sz w:val="20"/>
          <w:szCs w:val="20"/>
          <w:rtl w:val="1"/>
        </w:rPr>
        <w:t xml:space="preserve">" </w:t>
      </w:r>
      <w:r w:rsidDel="00000000" w:rsidR="00000000" w:rsidRPr="00000000">
        <w:rPr>
          <w:i w:val="1"/>
          <w:sz w:val="20"/>
          <w:szCs w:val="20"/>
          <w:rtl w:val="1"/>
        </w:rPr>
        <w:t xml:space="preserve">רמוז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במקרא</w:t>
      </w:r>
      <w:r w:rsidDel="00000000" w:rsidR="00000000" w:rsidRPr="00000000">
        <w:rPr>
          <w:i w:val="1"/>
          <w:sz w:val="20"/>
          <w:szCs w:val="20"/>
          <w:rtl w:val="1"/>
        </w:rPr>
        <w:t xml:space="preserve">?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האם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האבות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מופיעים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ברצף</w:t>
      </w:r>
      <w:r w:rsidDel="00000000" w:rsidR="00000000" w:rsidRPr="00000000">
        <w:rPr>
          <w:i w:val="1"/>
          <w:sz w:val="20"/>
          <w:szCs w:val="20"/>
          <w:rtl w:val="1"/>
        </w:rPr>
        <w:t xml:space="preserve">?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איזה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היגיון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יש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בראייתם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כ</w:t>
      </w:r>
      <w:r w:rsidDel="00000000" w:rsidR="00000000" w:rsidRPr="00000000">
        <w:rPr>
          <w:i w:val="1"/>
          <w:sz w:val="20"/>
          <w:szCs w:val="20"/>
          <w:rtl w:val="1"/>
        </w:rPr>
        <w:t xml:space="preserve">"</w:t>
      </w:r>
      <w:r w:rsidDel="00000000" w:rsidR="00000000" w:rsidRPr="00000000">
        <w:rPr>
          <w:i w:val="1"/>
          <w:sz w:val="20"/>
          <w:szCs w:val="20"/>
          <w:rtl w:val="1"/>
        </w:rPr>
        <w:t xml:space="preserve">אבות</w:t>
      </w:r>
      <w:r w:rsidDel="00000000" w:rsidR="00000000" w:rsidRPr="00000000">
        <w:rPr>
          <w:i w:val="1"/>
          <w:sz w:val="20"/>
          <w:szCs w:val="20"/>
          <w:rtl w:val="1"/>
        </w:rPr>
        <w:t xml:space="preserve">" 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המובחנים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מדרכי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פגיעה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אחרות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בזולת</w:t>
      </w:r>
      <w:r w:rsidDel="00000000" w:rsidR="00000000" w:rsidRPr="00000000">
        <w:rPr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i w:val="1"/>
          <w:sz w:val="20"/>
          <w:szCs w:val="20"/>
          <w:rtl w:val="1"/>
        </w:rPr>
        <w:t xml:space="preserve">ומהווים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מעין</w:t>
      </w:r>
      <w:r w:rsidDel="00000000" w:rsidR="00000000" w:rsidRPr="00000000">
        <w:rPr>
          <w:i w:val="1"/>
          <w:sz w:val="20"/>
          <w:szCs w:val="20"/>
          <w:rtl w:val="1"/>
        </w:rPr>
        <w:t xml:space="preserve"> "</w:t>
      </w:r>
      <w:r w:rsidDel="00000000" w:rsidR="00000000" w:rsidRPr="00000000">
        <w:rPr>
          <w:i w:val="1"/>
          <w:sz w:val="20"/>
          <w:szCs w:val="20"/>
          <w:rtl w:val="1"/>
        </w:rPr>
        <w:t xml:space="preserve">אב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משפחה</w:t>
      </w:r>
      <w:r w:rsidDel="00000000" w:rsidR="00000000" w:rsidRPr="00000000">
        <w:rPr>
          <w:i w:val="1"/>
          <w:sz w:val="20"/>
          <w:szCs w:val="20"/>
          <w:rtl w:val="1"/>
        </w:rPr>
        <w:t xml:space="preserve">" </w:t>
      </w:r>
      <w:r w:rsidDel="00000000" w:rsidR="00000000" w:rsidRPr="00000000">
        <w:rPr>
          <w:i w:val="1"/>
          <w:sz w:val="20"/>
          <w:szCs w:val="20"/>
          <w:rtl w:val="1"/>
        </w:rPr>
        <w:t xml:space="preserve">לנזקים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i w:val="1"/>
          <w:sz w:val="20"/>
          <w:szCs w:val="20"/>
          <w:rtl w:val="1"/>
        </w:rPr>
        <w:t xml:space="preserve">נוספים</w:t>
      </w:r>
      <w:r w:rsidDel="00000000" w:rsidR="00000000" w:rsidRPr="00000000">
        <w:rPr>
          <w:i w:val="1"/>
          <w:sz w:val="20"/>
          <w:szCs w:val="20"/>
          <w:rtl w:val="1"/>
        </w:rPr>
        <w:t xml:space="preserve">?</w:t>
      </w:r>
    </w:p>
    <w:p w:rsidR="00000000" w:rsidDel="00000000" w:rsidP="00000000" w:rsidRDefault="00000000" w:rsidRPr="00000000" w14:paraId="00000014">
      <w:pPr>
        <w:pStyle w:val="Heading3"/>
        <w:bidi w:val="1"/>
        <w:rPr/>
      </w:pPr>
      <w:bookmarkStart w:colFirst="0" w:colLast="0" w:name="_2et92p0" w:id="4"/>
      <w:bookmarkEnd w:id="4"/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אושעיא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אושעיא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והשוכר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להכשר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להכשר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לניזקי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גופו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הכשר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נזקין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ניזקי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ירושלמי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חלוק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אושעיא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ובמה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חלוק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אושעיא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גבולות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הגזרה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המרחיבה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הנזיקין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24?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מוסיף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אושעיא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והיכן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נעצר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סוגיית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מניין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הנזיקין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סוגיה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ארגונית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מספרית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גרידא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תפיסה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מהות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הנזיקין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1D">
      <w:pPr>
        <w:pStyle w:val="Heading3"/>
        <w:bidi w:val="1"/>
        <w:rPr/>
      </w:pPr>
      <w:bookmarkStart w:colFirst="0" w:colLast="0" w:name="_tyjcwt" w:id="5"/>
      <w:bookmarkEnd w:id="5"/>
      <w:r w:rsidDel="00000000" w:rsidR="00000000" w:rsidRPr="00000000">
        <w:rPr>
          <w:rtl w:val="1"/>
        </w:rPr>
        <w:t xml:space="preserve">זהות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האמוראים</w:t>
      </w:r>
    </w:p>
    <w:p w:rsidR="00000000" w:rsidDel="00000000" w:rsidP="00000000" w:rsidRDefault="00000000" w:rsidRPr="00000000" w14:paraId="0000001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המבעה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</w:t>
      </w:r>
      <w:r w:rsidDel="00000000" w:rsidR="00000000" w:rsidRPr="00000000">
        <w:rPr>
          <w:rtl w:val="1"/>
        </w:rPr>
        <w:t xml:space="preserve">;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מצפוניו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כדמתרגם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איתבליש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אתגלין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מטמרוהי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כשמואל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כשמואל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תנא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דשור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!...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שייריה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וליתנייה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במועדין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מתחילתן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קמיירי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בתמין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ולבסוף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מועדין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קמיירי</w:t>
      </w:r>
      <w:r w:rsidDel="00000000" w:rsidR="00000000" w:rsidRPr="00000000">
        <w:rPr>
          <w:b w:val="1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וילנא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מניין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המבעה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ישעי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משלחי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וההבער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'...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חגיי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דאשתעי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אישתעיית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מתניתא</w:t>
      </w:r>
      <w:r w:rsidDel="00000000" w:rsidR="00000000" w:rsidRPr="00000000">
        <w:rPr>
          <w:rtl w:val="1"/>
        </w:rPr>
        <w:t xml:space="preserve">.</w:t>
      </w:r>
    </w:p>
    <w:tbl>
      <w:tblPr>
        <w:tblStyle w:val="Table1"/>
        <w:bidiVisual w:val="1"/>
        <w:tblW w:w="8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1"/>
        <w:gridCol w:w="3130"/>
        <w:gridCol w:w="2084"/>
        <w:gridCol w:w="2141"/>
        <w:tblGridChange w:id="0">
          <w:tblGrid>
            <w:gridCol w:w="941"/>
            <w:gridCol w:w="3130"/>
            <w:gridCol w:w="2084"/>
            <w:gridCol w:w="2141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bidi w:val="1"/>
              <w:rPr>
                <w:b w:val="1"/>
              </w:rPr>
            </w:pPr>
            <w:bookmarkStart w:colFirst="0" w:colLast="0" w:name="_lnxbz9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4 </w:t>
            </w:r>
            <w:r w:rsidDel="00000000" w:rsidR="00000000" w:rsidRPr="00000000">
              <w:rPr>
                <w:b w:val="1"/>
                <w:rtl w:val="1"/>
              </w:rPr>
              <w:t xml:space="preserve">האבות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לפי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רב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4 </w:t>
            </w:r>
            <w:r w:rsidDel="00000000" w:rsidR="00000000" w:rsidRPr="00000000">
              <w:rPr>
                <w:b w:val="1"/>
                <w:rtl w:val="1"/>
              </w:rPr>
              <w:t xml:space="preserve">האבות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לפי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שמואל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(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על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פי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רבא</w:t>
            </w:r>
            <w:r w:rsidDel="00000000" w:rsidR="00000000" w:rsidRPr="00000000">
              <w:rPr>
                <w:sz w:val="14"/>
                <w:szCs w:val="1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4 </w:t>
            </w:r>
            <w:r w:rsidDel="00000000" w:rsidR="00000000" w:rsidRPr="00000000">
              <w:rPr>
                <w:b w:val="1"/>
                <w:rtl w:val="1"/>
              </w:rPr>
              <w:t xml:space="preserve">האבות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לפי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הירושלמי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שור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קרן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ורגל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רגל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קרן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בור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בור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בור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בור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מבעה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אדם</w:t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שן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רגל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הבער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אש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אש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אש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היסוד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המחודש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bidi w:val="1"/>
              <w:rPr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הכנסת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האדם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כאחד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מארבע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אבות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הנזיקין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למרות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היעדרותו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מהפרשה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ואופיו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השונה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bidi w:val="1"/>
              <w:rPr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הוצאת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הקרן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מאבות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הנזיקין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רבא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היצמדות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לפשטי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הפסוקים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ויצירת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אבות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ולא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4</w:t>
            </w:r>
          </w:p>
        </w:tc>
      </w:tr>
    </w:tbl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גירסת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הגאונים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בשיטת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רב</w:t>
      </w:r>
      <w:r w:rsidDel="00000000" w:rsidR="00000000" w:rsidRPr="00000000">
        <w:rPr>
          <w:b w:val="1"/>
          <w:i w:val="1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שאוכליה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שלשור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bidi w:val="1"/>
        <w:rPr/>
      </w:pPr>
      <w:bookmarkStart w:colFirst="0" w:colLast="0" w:name="_3dy6vkm" w:id="7"/>
      <w:bookmarkEnd w:id="7"/>
      <w:r w:rsidDel="00000000" w:rsidR="00000000" w:rsidRPr="00000000">
        <w:rPr>
          <w:rtl w:val="1"/>
        </w:rPr>
        <w:t xml:space="preserve">התולדות</w:t>
      </w:r>
    </w:p>
    <w:p w:rsidR="00000000" w:rsidDel="00000000" w:rsidP="00000000" w:rsidRDefault="00000000" w:rsidRPr="00000000" w14:paraId="00000040">
      <w:pPr>
        <w:pStyle w:val="Heading3"/>
        <w:bidi w:val="1"/>
        <w:rPr/>
      </w:pPr>
      <w:bookmarkStart w:colFirst="0" w:colLast="0" w:name="_1t3h5sf" w:id="8"/>
      <w:bookmarkEnd w:id="8"/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בנזיקין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b w:val="1"/>
          <w:rtl w:val="1"/>
        </w:rPr>
        <w:t xml:space="preserve">מכילתא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ישמעאל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משפטים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מסכתא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דנזיקין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יאשיה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b w:val="1"/>
          <w:rtl w:val="1"/>
        </w:rPr>
        <w:t xml:space="preserve">שיטה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מקובצת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מדנסמכה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כץ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b w:val="1"/>
          <w:rtl w:val="1"/>
        </w:rPr>
        <w:t xml:space="preserve">שיעורי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מדנסמכה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b w:val="1"/>
          <w:rtl w:val="1"/>
        </w:rPr>
        <w:t xml:space="preserve">ותמוה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נזיקין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סברא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bidi w:val="1"/>
        <w:rPr/>
      </w:pPr>
      <w:bookmarkStart w:colFirst="0" w:colLast="0" w:name="_4d34og8" w:id="9"/>
      <w:bookmarkEnd w:id="9"/>
      <w:r w:rsidDel="00000000" w:rsidR="00000000" w:rsidRPr="00000000">
        <w:rPr>
          <w:rtl w:val="1"/>
        </w:rPr>
        <w:t xml:space="preserve">דמיון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</w:t>
      </w:r>
    </w:p>
    <w:p w:rsidR="00000000" w:rsidDel="00000000" w:rsidP="00000000" w:rsidRDefault="00000000" w:rsidRPr="00000000" w14:paraId="0000004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ובעיטה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יגוף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....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נשיכה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רביצה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וילנא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בתולדות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תליתייא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בנזיקין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וצלוחיתו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צלוחיתו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הצלוחית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בכרמלי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שליקלק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כולהון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54">
      <w:pPr>
        <w:pStyle w:val="Heading2"/>
        <w:bidi w:val="1"/>
        <w:rPr/>
      </w:pPr>
      <w:bookmarkStart w:colFirst="0" w:colLast="0" w:name="_35nkun2" w:id="10"/>
      <w:bookmarkEnd w:id="10"/>
      <w:r w:rsidDel="00000000" w:rsidR="00000000" w:rsidRPr="00000000">
        <w:rPr>
          <w:rtl w:val="1"/>
        </w:rPr>
        <w:t xml:space="preserve">תולדותיהן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הפתיחה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לפוטרן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משלם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דלמא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המנתזין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שבנכסיו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b w:val="1"/>
          <w:rtl w:val="1"/>
        </w:rPr>
        <w:t xml:space="preserve">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vertAlign w:val="superscript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יצחק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חילוק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בתשלומי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מסתפק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דמהיכא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ביניהו</w:t>
      </w:r>
      <w:r w:rsidDel="00000000" w:rsidR="00000000" w:rsidRPr="00000000">
        <w:rPr>
          <w:b w:val="1"/>
          <w:vertAlign w:val="superscript"/>
          <w:rtl w:val="1"/>
        </w:rPr>
        <w:t xml:space="preserve">ג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דידעינא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מסברא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שדומים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בתשלומיהן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לפשפש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b w:val="1"/>
          <w:rtl w:val="1"/>
        </w:rPr>
        <w:t xml:space="preserve">שהרי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נזקין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ילפותא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לחייבו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פטורין</w:t>
      </w:r>
    </w:p>
    <w:p w:rsidR="00000000" w:rsidDel="00000000" w:rsidP="00000000" w:rsidRDefault="00000000" w:rsidRPr="00000000" w14:paraId="00000062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אחרונים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נוספים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להרחבה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b w:val="1"/>
          <w:rtl w:val="1"/>
        </w:rPr>
        <w:t xml:space="preserve">דברות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במתניתין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שנכתבו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שדרכן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וממונך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ושמירתן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b w:val="1"/>
          <w:rtl w:val="1"/>
        </w:rPr>
        <w:t xml:space="preserve">משנת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אהרון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קוטלר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והנראה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שנינו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עלייך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להלכותיהן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לפוטרן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הטמון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וחפצא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שהניחן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הגדולים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דכתבו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המלמדים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דכיוון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דאטו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שבשניהם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לחומרא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באיכותם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ובמעלתם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משורו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הנזיקין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וההבער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ידענו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איכלל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בהצד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ובאחרונים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ובפשוטו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איקרו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דאע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מלשלם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בשמירתה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תזיק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בשמירתה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vertAlign w:val="superscript"/>
          <w:rtl w:val="1"/>
        </w:rPr>
        <w:t xml:space="preserve">א</w:t>
      </w:r>
      <w:r w:rsidDel="00000000" w:rsidR="00000000" w:rsidRPr="00000000">
        <w:rPr>
          <w:vertAlign w:val="superscript"/>
          <w:rtl w:val="1"/>
        </w:rPr>
        <w:t xml:space="preserve">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E">
      <w:pPr>
        <w:pStyle w:val="Heading2"/>
        <w:bidi w:val="1"/>
        <w:rPr/>
      </w:pPr>
      <w:bookmarkStart w:colFirst="0" w:colLast="0" w:name="_17dp8vu" w:id="11"/>
      <w:bookmarkEnd w:id="11"/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הרמז</w:t>
      </w:r>
    </w:p>
    <w:p w:rsidR="00000000" w:rsidDel="00000000" w:rsidP="00000000" w:rsidRDefault="00000000" w:rsidRPr="00000000" w14:paraId="0000006F">
      <w:pPr>
        <w:pStyle w:val="Heading3"/>
        <w:bidi w:val="1"/>
        <w:rPr/>
      </w:pPr>
      <w:bookmarkStart w:colFirst="0" w:colLast="0" w:name="_3rdcrjn" w:id="12"/>
      <w:bookmarkEnd w:id="12"/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rtl w:val="0"/>
        </w:rPr>
        <w:t xml:space="preserve">"?</w:t>
      </w:r>
    </w:p>
    <w:p w:rsidR="00000000" w:rsidDel="00000000" w:rsidP="00000000" w:rsidRDefault="00000000" w:rsidRPr="00000000" w14:paraId="0000007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מעט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קטעים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מאגרת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משרטט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להיראות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לסדר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נזיקין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תקנב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וחביבי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לדוגמא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לכהת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והירושלמי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הכלליות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רשמתי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לנזיקין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ובמרוצת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ישועות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  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( </w:t>
      </w:r>
      <w:r w:rsidDel="00000000" w:rsidR="00000000" w:rsidRPr="00000000">
        <w:rPr>
          <w:b w:val="1"/>
          <w:rtl w:val="1"/>
        </w:rPr>
        <w:t xml:space="preserve">הוראת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השם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נזיקין</w:t>
      </w:r>
      <w:r w:rsidDel="00000000" w:rsidR="00000000" w:rsidRPr="00000000">
        <w:rPr>
          <w:b w:val="1"/>
          <w:rtl w:val="1"/>
        </w:rPr>
        <w:t xml:space="preserve">", </w:t>
      </w:r>
      <w:r w:rsidDel="00000000" w:rsidR="00000000" w:rsidRPr="00000000">
        <w:rPr>
          <w:b w:val="1"/>
          <w:rtl w:val="1"/>
        </w:rPr>
        <w:t xml:space="preserve">ערכו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הדקדוקי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המסכתות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השיטות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וההבדלים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הבבלי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והירושלמי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'...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האגדה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באורים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1"/>
        </w:rPr>
        <w:t xml:space="preserve">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בירורים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...   </w:t>
      </w:r>
      <w:r w:rsidDel="00000000" w:rsidR="00000000" w:rsidRPr="00000000">
        <w:rPr>
          <w:rtl w:val="1"/>
        </w:rPr>
        <w:t xml:space="preserve">וכשירחיב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לשוטט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האנושיות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ואית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): (</w:t>
      </w:r>
      <w:r w:rsidDel="00000000" w:rsidR="00000000" w:rsidRPr="00000000">
        <w:rPr>
          <w:rtl w:val="1"/>
        </w:rPr>
        <w:t xml:space="preserve">גליון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למניינא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b w:val="1"/>
          <w:rtl w:val="1"/>
        </w:rPr>
        <w:t xml:space="preserve">שיטה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מקובצת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בנוסחאי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ודוקני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b w:val="1"/>
          <w:rtl w:val="1"/>
        </w:rPr>
        <w:t xml:space="preserve">מאור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רמזי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ופירוש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ההגדה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שהצדיקים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בלימודם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שהצדיקים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בלימודם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שילקו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פקודיך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המחשבה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מאמרות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כנודע</w:t>
      </w:r>
      <w:r w:rsidDel="00000000" w:rsidR="00000000" w:rsidRPr="00000000">
        <w:rPr>
          <w:vertAlign w:val="superscript"/>
          <w:rtl w:val="1"/>
        </w:rPr>
        <w:t xml:space="preserve">ד</w:t>
      </w:r>
      <w:r w:rsidDel="00000000" w:rsidR="00000000" w:rsidRPr="00000000">
        <w:rPr>
          <w:vertAlign w:val="superscript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ופיזור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יתפרדו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און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3"/>
        <w:bidi w:val="1"/>
        <w:rPr/>
      </w:pPr>
      <w:bookmarkStart w:colFirst="0" w:colLast="0" w:name="_26in1rg" w:id="13"/>
      <w:bookmarkEnd w:id="13"/>
      <w:r w:rsidDel="00000000" w:rsidR="00000000" w:rsidRPr="00000000">
        <w:rPr>
          <w:rtl w:val="1"/>
        </w:rPr>
        <w:t xml:space="preserve">המילה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b w:val="1"/>
          <w:rtl w:val="1"/>
        </w:rPr>
        <w:t xml:space="preserve">שיטה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מקובצת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החסד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שכוונתם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שכוונתם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ההיזק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ההפעיל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וסבת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שחכמינו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ישעיהו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ָּׂ֖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ֵּׂ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ֻׁ֥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ישעיהו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כצור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יחזקאל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משעיר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והחשכה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להזריח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תבעיון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תבקשו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בקשתכם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</w:footnote>
  <w:footnote w:id="1"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עובדיה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ֹּ֖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הגאונים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שרירא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גאון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להרחבה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מפאנו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המילואים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מניטו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בשיעור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jc w:val="center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