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קצר</w:t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יסודות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מצטער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תנאים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ירושלמי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בבלי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מחלוקת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שיטתית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אביי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ורבא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מקור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מצטער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ראשונים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tl w:val="0"/>
              </w:rPr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תשבו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כעין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תדורו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tl w:val="0"/>
              </w:rPr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האזרח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tl w:val="0"/>
              </w:rPr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וחי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בהם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"?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פטור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גם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כאשר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יינצל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מן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הצער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בצאתו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מן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הסוכה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העושה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סוכתו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במקום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צער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במצטער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פסול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בחפצא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הסוכה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הפטור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מן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הדבר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ועושהו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נקרא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הדיוט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259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מצטער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בעולם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המחשבה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הסוכה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וטבעיות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החיים</w:t>
            </w:r>
          </w:hyperlink>
          <w:hyperlink w:anchor="_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3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תנאים</w:t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[*]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[*]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משתסרח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ליברמן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בקיסריון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ירושלמי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משתסרח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גמ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כתיב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</w:t>
      </w:r>
      <w:r w:rsidDel="00000000" w:rsidR="00000000" w:rsidRPr="00000000">
        <w:rPr>
          <w:b w:val="1"/>
          <w:rtl w:val="1"/>
        </w:rPr>
        <w:t xml:space="preserve">] </w:t>
      </w:r>
      <w:r w:rsidDel="00000000" w:rsidR="00000000" w:rsidRPr="00000000">
        <w:rPr>
          <w:b w:val="1"/>
          <w:rtl w:val="1"/>
        </w:rPr>
        <w:t xml:space="preserve">בסכת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תדורו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וירשתם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שתסרח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שתסרח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גריסין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שמפנין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הגשמים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היתושין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דנשייא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מתפילין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ליחזקאל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דמיחייבת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פטירי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מהו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הואיל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זבדא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צערא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דממילא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נפשיה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בקיסרי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למגנא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ממטללתא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סרחא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דגרגישתא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לטעמיה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מצטער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.  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והשושבינין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וליחדו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וליחדו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וליעבדו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ייחוד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ורבא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צער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דשכיחי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ופרדסים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וליעבדי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וליתבו</w:t>
      </w:r>
      <w:r w:rsidDel="00000000" w:rsidR="00000000" w:rsidRPr="00000000">
        <w:rPr>
          <w:rtl w:val="1"/>
        </w:rPr>
        <w:t xml:space="preserve">! –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תדורו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פרצה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לגנב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אזרח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ואסמכינהו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תלמוד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בבלי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מסכת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סוכה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דף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כח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עמוד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שבתורה</w:t>
      </w:r>
      <w:r w:rsidDel="00000000" w:rsidR="00000000" w:rsidRPr="00000000">
        <w:rPr>
          <w:rtl w:val="1"/>
        </w:rPr>
        <w:t xml:space="preserve">. –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ואיצטריך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סלקא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תדורו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דירה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ואשתו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ואשתו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איצטריך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סלקא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אמינא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יליף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חייבות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קמשמע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ומאזהרה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משתסרח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גריסין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משתסרח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שתסרח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ומשנן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והאמר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במטללתא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ממטללתא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במגרס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בעיוני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פשטי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המקורות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רבא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סובר</w:t>
      </w:r>
      <w:r w:rsidDel="00000000" w:rsidR="00000000" w:rsidRPr="00000000">
        <w:rPr>
          <w:i w:val="1"/>
          <w:rtl w:val="1"/>
        </w:rPr>
        <w:t xml:space="preserve"> "</w:t>
      </w:r>
      <w:r w:rsidDel="00000000" w:rsidR="00000000" w:rsidRPr="00000000">
        <w:rPr>
          <w:i w:val="1"/>
          <w:rtl w:val="1"/>
        </w:rPr>
        <w:t xml:space="preserve">תשבו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כעין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תדורו</w:t>
      </w:r>
      <w:r w:rsidDel="00000000" w:rsidR="00000000" w:rsidRPr="00000000">
        <w:rPr>
          <w:i w:val="1"/>
          <w:rtl w:val="1"/>
        </w:rPr>
        <w:t xml:space="preserve">" </w:t>
      </w:r>
      <w:r w:rsidDel="00000000" w:rsidR="00000000" w:rsidRPr="00000000">
        <w:rPr>
          <w:i w:val="1"/>
          <w:rtl w:val="1"/>
        </w:rPr>
        <w:t xml:space="preserve">כשיקול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לפטור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43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פשטי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המקורות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אביי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סובר</w:t>
      </w:r>
      <w:r w:rsidDel="00000000" w:rsidR="00000000" w:rsidRPr="00000000">
        <w:rPr>
          <w:i w:val="1"/>
          <w:rtl w:val="1"/>
        </w:rPr>
        <w:t xml:space="preserve"> "</w:t>
      </w:r>
      <w:r w:rsidDel="00000000" w:rsidR="00000000" w:rsidRPr="00000000">
        <w:rPr>
          <w:i w:val="1"/>
          <w:rtl w:val="1"/>
        </w:rPr>
        <w:t xml:space="preserve">מצטער</w:t>
      </w:r>
      <w:r w:rsidDel="00000000" w:rsidR="00000000" w:rsidRPr="00000000">
        <w:rPr>
          <w:i w:val="1"/>
          <w:rtl w:val="1"/>
        </w:rPr>
        <w:t xml:space="preserve">" </w:t>
      </w:r>
      <w:r w:rsidDel="00000000" w:rsidR="00000000" w:rsidRPr="00000000">
        <w:rPr>
          <w:i w:val="1"/>
          <w:rtl w:val="1"/>
        </w:rPr>
        <w:t xml:space="preserve">כשיקול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לפטור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44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ראשונים</w:t>
      </w:r>
    </w:p>
    <w:p w:rsidR="00000000" w:rsidDel="00000000" w:rsidP="00000000" w:rsidRDefault="00000000" w:rsidRPr="00000000" w14:paraId="00000046">
      <w:pPr>
        <w:pStyle w:val="Heading3"/>
        <w:bidi w:val="1"/>
        <w:rPr/>
      </w:pPr>
      <w:bookmarkStart w:colFirst="0" w:colLast="0" w:name="_lnxbz9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4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שמצטער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פרצה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:).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הבחירה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מאירי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bidi w:val="1"/>
        <w:rPr/>
      </w:pPr>
      <w:bookmarkStart w:colFirst="0" w:colLast="0" w:name="_35nkun2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5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הריטב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ולפום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ופשוטו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חוקה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לגר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ולגר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bidi w:val="1"/>
        <w:rPr/>
      </w:pPr>
      <w:bookmarkStart w:colFirst="0" w:colLast="0" w:name="_1ksv4uv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"?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ומצטערים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],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</w:p>
    <w:p w:rsidR="00000000" w:rsidDel="00000000" w:rsidP="00000000" w:rsidRDefault="00000000" w:rsidRPr="00000000" w14:paraId="0000005E">
      <w:pPr>
        <w:pStyle w:val="Heading2"/>
        <w:bidi w:val="1"/>
        <w:rPr/>
      </w:pPr>
      <w:bookmarkStart w:colFirst="0" w:colLast="0" w:name="_2s8eyo1" w:id="9"/>
      <w:bookmarkEnd w:id="9"/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5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מרדכי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תשמ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בספר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יראים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i w:val="1"/>
          <w:rtl w:val="1"/>
        </w:rPr>
        <w:t xml:space="preserve">ש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ובצאתו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ינצל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</w:t>
      </w:r>
      <w:r w:rsidDel="00000000" w:rsidR="00000000" w:rsidRPr="00000000">
        <w:rPr>
          <w:rtl w:val="1"/>
        </w:rPr>
        <w:t xml:space="preserve">ושיעור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b w:val="1"/>
          <w:rtl w:val="1"/>
        </w:rPr>
        <w:t xml:space="preserve">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השיעור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שבצער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מסוכתו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להצטער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סכנה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באכילה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דלצעוריה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:.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קעח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אשאלך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והודיעני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ליתובי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דבצאתו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בהפך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A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רמ</w:t>
      </w:r>
      <w:r w:rsidDel="00000000" w:rsidR="00000000" w:rsidRPr="00000000">
        <w:rPr>
          <w:b w:val="1"/>
          <w:i w:val="1"/>
          <w:rtl w:val="1"/>
        </w:rPr>
        <w:t xml:space="preserve">"</w:t>
      </w:r>
      <w:r w:rsidDel="00000000" w:rsidR="00000000" w:rsidRPr="00000000">
        <w:rPr>
          <w:b w:val="1"/>
          <w:i w:val="1"/>
          <w:rtl w:val="1"/>
        </w:rPr>
        <w:t xml:space="preserve">א</w:t>
      </w:r>
      <w:r w:rsidDel="00000000" w:rsidR="00000000" w:rsidRPr="00000000">
        <w:rPr>
          <w:b w:val="1"/>
          <w:i w:val="1"/>
          <w:rtl w:val="1"/>
        </w:rPr>
        <w:t xml:space="preserve">, </w:t>
      </w:r>
      <w:r w:rsidDel="00000000" w:rsidR="00000000" w:rsidRPr="00000000">
        <w:rPr>
          <w:b w:val="1"/>
          <w:i w:val="1"/>
          <w:rtl w:val="1"/>
        </w:rPr>
        <w:t xml:space="preserve">תר</w:t>
      </w:r>
      <w:r w:rsidDel="00000000" w:rsidR="00000000" w:rsidRPr="00000000">
        <w:rPr>
          <w:b w:val="1"/>
          <w:i w:val="1"/>
          <w:rtl w:val="1"/>
        </w:rPr>
        <w:t xml:space="preserve">"</w:t>
      </w:r>
      <w:r w:rsidDel="00000000" w:rsidR="00000000" w:rsidRPr="00000000">
        <w:rPr>
          <w:b w:val="1"/>
          <w:i w:val="1"/>
          <w:rtl w:val="1"/>
        </w:rPr>
        <w:t xml:space="preserve">מ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ד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ואין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המצטער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פטור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ינצל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עצמו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הצער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אבל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בלאו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הכי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חייב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לישב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בסוכה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דמצטער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מרדכי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הישן</w:t>
      </w:r>
      <w:r w:rsidDel="00000000" w:rsidR="00000000" w:rsidRPr="00000000">
        <w:rPr>
          <w:i w:val="1"/>
          <w:rtl w:val="1"/>
        </w:rPr>
        <w:t xml:space="preserve">):</w:t>
      </w:r>
    </w:p>
    <w:p w:rsidR="00000000" w:rsidDel="00000000" w:rsidP="00000000" w:rsidRDefault="00000000" w:rsidRPr="00000000" w14:paraId="0000006D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מרומי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דהאזרח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1">
      <w:pPr>
        <w:pStyle w:val="Heading2"/>
        <w:bidi w:val="1"/>
        <w:rPr/>
      </w:pPr>
      <w:bookmarkStart w:colFirst="0" w:colLast="0" w:name="_44sinio" w:id="10"/>
      <w:bookmarkEnd w:id="10"/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?)</w:t>
      </w:r>
    </w:p>
    <w:p w:rsidR="00000000" w:rsidDel="00000000" w:rsidP="00000000" w:rsidRDefault="00000000" w:rsidRPr="00000000" w14:paraId="0000007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תר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משמשיו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ודווקא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6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הגה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ואם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עשאה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מתחילה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במקום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שמצטער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באכילה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בשתייה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בשינה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אפשר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לעשות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בסוכה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מחמת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דמתיירא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מלסטים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גנבים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כשהוא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בסוכה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אינו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יוצא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באותה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סוכה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אפילו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בדברים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מצטער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בהם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כעין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דירה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שיוכל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לעשות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צרכיו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מרדכי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הישן</w:t>
      </w:r>
      <w:r w:rsidDel="00000000" w:rsidR="00000000" w:rsidRPr="00000000">
        <w:rPr>
          <w:i w:val="1"/>
          <w:rtl w:val="1"/>
        </w:rPr>
        <w:t xml:space="preserve">)...</w:t>
      </w:r>
    </w:p>
    <w:p w:rsidR="00000000" w:rsidDel="00000000" w:rsidP="00000000" w:rsidRDefault="00000000" w:rsidRPr="00000000" w14:paraId="00000077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מי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לישן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בסוכה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מחמת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שצר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בפישוט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ידיו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ורגליו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מקרי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מצטער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וחייב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לישן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דצריך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לכפוף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ידיו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ורגליו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תרומת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הדשן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סימן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צ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ב</w:t>
      </w:r>
      <w:r w:rsidDel="00000000" w:rsidR="00000000" w:rsidRPr="00000000">
        <w:rPr>
          <w:i w:val="1"/>
          <w:rtl w:val="1"/>
        </w:rPr>
        <w:t xml:space="preserve">). </w:t>
      </w:r>
    </w:p>
    <w:p w:rsidR="00000000" w:rsidDel="00000000" w:rsidP="00000000" w:rsidRDefault="00000000" w:rsidRPr="00000000" w14:paraId="0000007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צבי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צד</w:t>
      </w:r>
    </w:p>
    <w:p w:rsidR="00000000" w:rsidDel="00000000" w:rsidP="00000000" w:rsidRDefault="00000000" w:rsidRPr="00000000" w14:paraId="0000007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״</w:t>
      </w:r>
      <w:r w:rsidDel="00000000" w:rsidR="00000000" w:rsidRPr="00000000">
        <w:rPr>
          <w:b w:val="1"/>
          <w:rtl w:val="1"/>
        </w:rPr>
        <w:t xml:space="preserve">ד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תדורו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עשוייה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הישיבה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ואה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ובהכי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ועוקרתה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ובהישן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אשכנזי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פעולת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צדיק</w:t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קצז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1 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הדיוט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3">
      <w:pPr>
        <w:bidi w:val="1"/>
        <w:rPr>
          <w:rFonts w:ascii="Arial" w:cs="Arial" w:eastAsia="Arial" w:hAnsi="Arial"/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rFonts w:ascii="Arial" w:cs="Arial" w:eastAsia="Arial" w:hAnsi="Arial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משנ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1"/>
        </w:rPr>
        <w:t xml:space="preserve">'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אכילה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85">
      <w:pPr>
        <w:bidi w:val="1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ויש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מאחרונים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שחולקין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ודעתם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דאף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דלכתחלה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בודאי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סוכה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כזו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שאין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כדין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בדיעבד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חובת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אכילה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כיון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שלאכילה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מצטער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השולחן</w:t>
      </w:r>
    </w:p>
    <w:p w:rsidR="00000000" w:rsidDel="00000000" w:rsidP="00000000" w:rsidRDefault="00000000" w:rsidRPr="00000000" w14:paraId="0000008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bidi w:val="1"/>
        <w:rPr/>
      </w:pPr>
      <w:bookmarkStart w:colFirst="0" w:colLast="0" w:name="_2jxsxqh" w:id="11"/>
      <w:bookmarkEnd w:id="11"/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הדיוט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התבשיל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); * (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) &lt;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* (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הדיוטות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); 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8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2"/>
        <w:bidi w:val="1"/>
        <w:rPr/>
      </w:pPr>
      <w:bookmarkStart w:colFirst="0" w:colLast="0" w:name="_26in1rg" w:id="12"/>
      <w:bookmarkEnd w:id="12"/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המחשבה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</w:p>
    <w:p w:rsidR="00000000" w:rsidDel="00000000" w:rsidP="00000000" w:rsidRDefault="00000000" w:rsidRPr="00000000" w14:paraId="0000008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קבצים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קלט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עומק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והתפשטותה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ונתחללה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בטהרתה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וברדיפה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ירדפו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ולהתבסם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נזדככה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התגברה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והמתיקתה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וסבילת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והגופני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נתפלש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בעליוניותו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מצערים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לגלות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נהוגה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יסוד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מצטער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הסוכה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מפתחת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הנפש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ליסוד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הטבעי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שבאמונה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ברוחב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ובעילוי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והחיים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ועונג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ומכאובים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המתעוררת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bidi w:val="1"/>
        <w:rPr>
          <w:b w:val="1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זבדא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לטעמי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דהביאו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הגירסא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זבדא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אמרו</w:t>
      </w:r>
    </w:p>
  </w:footnote>
  <w:footnote w:id="1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ליברמן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תוספתא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כפשוטה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ובמנורת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ענעלאו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415: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ופטרוהו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מגזירה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ומתערה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ורענן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המשמשין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ומשמשין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שראוי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שחילק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כאזרח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להולכי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ושומרי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ומצטער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לויקרא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השערת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ויתכן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מוכח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119,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ובהערות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האראוויטץ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</w:p>
  </w:footnote>
  <w:footnote w:id="2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צדיק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צאלח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צנעא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- 18.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סמכותו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בצנעא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ובתשובותיו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מצוטטים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אשכנזים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וספרדים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