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bidi w:val="1"/>
        <w:spacing w:after="240" w:before="240" w:line="240" w:lineRule="auto"/>
        <w:jc w:val="center"/>
        <w:rPr>
          <w:rFonts w:ascii="Alef" w:cs="Alef" w:eastAsia="Alef" w:hAnsi="Alef"/>
          <w:b w:val="1"/>
          <w:sz w:val="32"/>
          <w:szCs w:val="32"/>
        </w:rPr>
      </w:pP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שיעור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כללי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ביסודות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דיני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אוקמי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2"/>
          <w:szCs w:val="32"/>
          <w:rtl w:val="1"/>
        </w:rPr>
        <w:t xml:space="preserve">ובזמירה</w:t>
      </w:r>
    </w:p>
    <w:p w:rsidR="00000000" w:rsidDel="00000000" w:rsidP="00000000" w:rsidRDefault="00000000" w:rsidRPr="00000000" w14:paraId="00000002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אנסה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ואנסה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אנסה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להגדיר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המתפתח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ובגבולות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שנילמד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בשיעורים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ובשיעור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למשנה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הסוגיה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וסוכה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והמקורות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pStyle w:val="Heading3"/>
        <w:keepLines w:val="0"/>
        <w:bidi w:val="1"/>
        <w:spacing w:after="60" w:before="240" w:line="240" w:lineRule="auto"/>
        <w:jc w:val="both"/>
        <w:rPr>
          <w:rFonts w:ascii="Alef" w:cs="Alef" w:eastAsia="Alef" w:hAnsi="Alef"/>
          <w:b w:val="1"/>
          <w:color w:val="000000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המותרות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ובכרם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שיטות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בהסבר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הנדפס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ובתוס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יונתן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מלוניל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ובנמוקי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העמק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].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dvhq5vn068ao" w:id="0"/>
      <w:bookmarkEnd w:id="0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רבנו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חננאל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00C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יקשקש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למעוטי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וביקוע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ועישות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דעבודת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וזרעים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וכרמים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והלכך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להפרות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לסתום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הסדקין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k7mj3ous5tln" w:id="1"/>
      <w:bookmarkEnd w:id="1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0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1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יקשקש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תקשי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תריץ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בחדתי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בעתיקי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שמסתם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רווחא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je6gtf99ybj7" w:id="2"/>
      <w:bookmarkEnd w:id="2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נוהגות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שבמקומן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ורגילין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לעשותן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uqpx0wjofuui" w:id="3"/>
      <w:bookmarkEnd w:id="3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יקשקש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גרסינן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נסיב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להתירא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ברישא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נסיב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לאיסורא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רגילה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וצריכה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לשדות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ולהשביח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A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 [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יכנס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חשיבא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ולהשביחו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וחשיבא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r7lmnk96vto1" w:id="4"/>
      <w:bookmarkEnd w:id="4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הגפנים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לניכוש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ולכיסוח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למחוק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הספרים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איירי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חרישה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הגפנים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דבזיתים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ובגפנים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אילנא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ימלא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להשקות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הגפנים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ומסיק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והקשה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הנטיעות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וכורכין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וקוטמין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להשקות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מושכין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ותירץ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דהכא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איירי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דמסכת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בדלא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קיימי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תירץ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דפלוגתא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דתנאי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צדוק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פליג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העיקר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ובתוס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פליג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העיקר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העיקר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x91wct6xxjz8" w:id="5"/>
      <w:bookmarkEnd w:id="5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וקצירה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זמירה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ובצירה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השקאת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ודכותה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גזור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w67mfy8kpiqc" w:id="6"/>
      <w:bookmarkEnd w:id="6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1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והנך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ונטיעה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דצריכות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לעשותן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דמסקינן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משדך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כרמך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דכולהו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אהדדי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kww5k82f4e2u" w:id="7"/>
      <w:bookmarkEnd w:id="7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נימוקי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הספיחין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מאיליהן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נאסרת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תזרע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ומינייהו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מזבלין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ומקרסמין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חתיכת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היבשים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ומזרדין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שענפיו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ומפסגין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שנופו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שקושרין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יכבדו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דסגי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דצריכה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מיקרי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vrh7uvc5ybu" w:id="8"/>
      <w:bookmarkEnd w:id="8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יהונתן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מלוניל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דפי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משניות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הספיחין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מאליהן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נאסרת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כדכתי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תזרע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ומיניהו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מזבלין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ומקרסמין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חתיכת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היבשים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ומזרדין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שענפיו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ומפסגין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שנופו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ולכאן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שקושרין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יכבדו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דסגי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ונטיעה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דצריכה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מיקרי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לעשותה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up27vjwow7uy" w:id="9"/>
      <w:bookmarkEnd w:id="9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ויובל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8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שצמאה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מרוחקין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מעשר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מושכין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ישקו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מקורבין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עפר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מרביצין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יפסדו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2A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לגפנים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כתחלה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וממלאין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C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ומפני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מלחה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וימות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שביארנו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jr548hczno03" w:id="10"/>
      <w:bookmarkEnd w:id="10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חזון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02E">
      <w:pPr>
        <w:bidi w:val="1"/>
        <w:spacing w:after="240" w:before="240" w:line="240" w:lineRule="auto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פירשו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בשניהם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ולכאורה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מועילות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כלום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הכשר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הכשר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להשקות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למלאת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דזו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התרנו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כדתנן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מושכין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Lines w:val="0"/>
        <w:bidi w:val="1"/>
        <w:spacing w:after="60" w:before="240" w:line="240" w:lineRule="auto"/>
        <w:jc w:val="both"/>
        <w:rPr>
          <w:rFonts w:ascii="Alef" w:cs="Alef" w:eastAsia="Alef" w:hAnsi="Alef"/>
          <w:b w:val="1"/>
          <w:color w:val="000000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התר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אוקמי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הנדפס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וריטבא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הסוגיה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3t1pl7h2d6et" w:id="11"/>
      <w:bookmarkEnd w:id="11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הנדפס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ומילתא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4guhpgdren7v" w:id="12"/>
      <w:bookmarkEnd w:id="12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הנדפס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בנקעים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בשניהן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39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יקשקש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הזיתים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תקשי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תריץ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בחדתי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בעתיקי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לעידור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csq4jf4qnvor" w:id="13"/>
      <w:bookmarkEnd w:id="13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הנדפס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רווחא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ko2zil8z4p3" w:id="14"/>
      <w:bookmarkEnd w:id="14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הנדפס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3E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מושכין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יתירא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איכא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co8bduy1cdfy" w:id="15"/>
      <w:bookmarkEnd w:id="15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הנדפס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40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האישות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שמפסידין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כדרכו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בצידה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דמתקן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כדרכו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שהפסד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כדרכו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לצוד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כדרכו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מפסיד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5pb49hn1a1bv" w:id="16"/>
      <w:bookmarkEnd w:id="16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שנהוגין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...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וקירסום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וזירוד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כולהון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קישקוש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דאינן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משביחין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גמרינן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וזימר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להקיש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זרע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וזימר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מיוחדין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'...</w:t>
      </w:r>
    </w:p>
    <w:p w:rsidR="00000000" w:rsidDel="00000000" w:rsidP="00000000" w:rsidRDefault="00000000" w:rsidRPr="00000000" w14:paraId="00000047">
      <w:pPr>
        <w:bidi w:val="1"/>
        <w:spacing w:line="240" w:lineRule="auto"/>
        <w:jc w:val="both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אסמכתא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rtl w:val="0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וגבי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מתני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׳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הואיל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ובית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השלחין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האבד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שרו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רבנן</w:t>
      </w:r>
    </w:p>
    <w:p w:rsidR="00000000" w:rsidDel="00000000" w:rsidP="00000000" w:rsidRDefault="00000000" w:rsidRPr="00000000" w14:paraId="00000048">
      <w:pPr>
        <w:bidi w:val="1"/>
        <w:spacing w:line="240" w:lineRule="auto"/>
        <w:jc w:val="both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דהשקאה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תולדה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דחרישה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דזריעה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דאוקימי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אילנא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דקא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bidi w:val="1"/>
        <w:spacing w:before="280" w:line="240" w:lineRule="auto"/>
        <w:ind w:firstLine="284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gxg9ldbmxzx0" w:id="17"/>
      <w:bookmarkEnd w:id="17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זרה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ונשרה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קליפתו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מדביקין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וקושרין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מזבלין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זבול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והויא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ושבכרם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נגזם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משביחו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מעמידו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בכמות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יתקלקל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מכמות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משביחו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מחזיקו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ומשביחו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yvgkqmwpa6ah" w:id="18"/>
      <w:bookmarkEnd w:id="18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0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 [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יכנס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השמש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הבקעים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חשיבא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ולהשביחו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וחשיבא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1jmrgf178ypq" w:id="19"/>
      <w:bookmarkEnd w:id="19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פירושים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שלהין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ערבינהו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שפירש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הקילון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בלחוד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מלישנא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גוונא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לפרושי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כפשטה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אסרו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אבד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ואסרו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האבד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עשאוהו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עודרין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מפסגין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מאבקין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ברייתא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ואוקמה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תלמודא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אסמכתא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p8ewuqaotig7" w:id="20"/>
      <w:bookmarkEnd w:id="20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4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ופרקינן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אסמכתא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מנכש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לנכש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והיכי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מתרצים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דברייתא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נהירא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והנכון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דניכוש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טירחא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רבה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וכהשקאה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דקילון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דמיא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+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+.</w:t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swsrq0u8b93x" w:id="21"/>
      <w:bookmarkEnd w:id="21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חננאל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זרה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56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אייתי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מתניתא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מתליעין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מתליעין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דיפרקינה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מתליעין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עוקרין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התולעין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בחרמש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בקרדום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ומגזמין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קוצצין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הקציצה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וימות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ומפרקינה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דמלאכה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טרחא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טרחא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7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זיבול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להאכיל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זוהמא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חיתוך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הזמורות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תחתיהן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להברות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ולהפריחו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דיפרקינה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תנינן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מזהמין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הנטיעות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וכורכין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וקוטמין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הצנה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ימותו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שעדיין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נטיעות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חופרין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נקעין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בעקריהן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שיתקבצו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ומשקין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ופרקינן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כדאמר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עוקבא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קישקושי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קישקוש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לקושש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יבישין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ועלין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ופסולת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לסתומי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לסתום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הסדקין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שבאילן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וחד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8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הברד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לפגין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שיתבשלו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בשמש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ויוכשרו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לאכילה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וסיכת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הפגין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פטומי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פירא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וסיכת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לגיזום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ואסיק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מכדי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וסיכת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דתרווייהו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סיכה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וזיהום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vs7ew21qun6p" w:id="22"/>
      <w:bookmarkEnd w:id="22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ויובל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5A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5B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ומפני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ישקה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הארץ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מלחה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וימות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ואיסור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האלו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וכיוצא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מדבריהם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גזרו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ושתי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תולדות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שביארנו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bidi w:val="1"/>
        <w:spacing w:before="280" w:line="240" w:lineRule="auto"/>
        <w:jc w:val="both"/>
        <w:rPr>
          <w:rFonts w:ascii="David" w:cs="David" w:eastAsia="David" w:hAnsi="David"/>
          <w:b w:val="1"/>
          <w:color w:val="000000"/>
          <w:sz w:val="26"/>
          <w:szCs w:val="26"/>
        </w:rPr>
      </w:pPr>
      <w:bookmarkStart w:colFirst="0" w:colLast="0" w:name="_tmj244ypy4l1" w:id="23"/>
      <w:bookmarkEnd w:id="23"/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חזו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5D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חלוק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ממלאכת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נאסר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המשבחת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הקרקע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לזריעה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לצמיחה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הכשר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עצמן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שבח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והלכך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ולצורך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מוצאי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בדליכא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spacing w:after="240" w:before="240" w:line="24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keepLines w:val="0"/>
        <w:bidi w:val="1"/>
        <w:spacing w:after="60" w:before="240" w:line="240" w:lineRule="auto"/>
        <w:jc w:val="both"/>
        <w:rPr>
          <w:rFonts w:ascii="Alef" w:cs="Alef" w:eastAsia="Alef" w:hAnsi="Alef"/>
          <w:b w:val="1"/>
          <w:color w:val="000000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גיזום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ואוקמי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בדאורייתא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הסוגיה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רמבם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השמיטה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כב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מעדני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קסא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וריטב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pStyle w:val="Heading3"/>
        <w:keepLines w:val="0"/>
        <w:bidi w:val="1"/>
        <w:spacing w:after="60" w:before="240" w:line="240" w:lineRule="auto"/>
        <w:jc w:val="both"/>
        <w:rPr>
          <w:rFonts w:ascii="Alef" w:cs="Alef" w:eastAsia="Alef" w:hAnsi="Alef"/>
          <w:b w:val="1"/>
          <w:color w:val="000000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אוקמי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000000"/>
          <w:sz w:val="24"/>
          <w:szCs w:val="24"/>
          <w:rtl w:val="1"/>
        </w:rPr>
        <w:t xml:space="preserve">פירא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קונטרס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דסקין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קונטרס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רנט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חןןת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בנימין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השמיטה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ובמקורותיו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bidi w:val="1"/>
        <w:spacing w:line="240" w:lineRule="auto"/>
        <w:ind w:left="644" w:hanging="360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בבדי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המקורות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בגמרא</w:t>
      </w:r>
    </w:p>
    <w:p w:rsidR="00000000" w:rsidDel="00000000" w:rsidP="00000000" w:rsidRDefault="00000000" w:rsidRPr="00000000" w14:paraId="00000072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7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אייבו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קאימנא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קמיה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צדוק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לקמיה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קרייתא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כרמיא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זיתיא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קרייתא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ומקשקשין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בכרמיא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ואוכלין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בזיתיא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שביק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ואזיל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הויתי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דיירי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בארעא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חמיתי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בארחן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דתקנן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מיעבד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אפקר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זיתיא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לחשוכיא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פריטיא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לקשקושי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כרמים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וקשקושי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תשמטנה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ונטשתה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תשמטנה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מלקשקש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ונטשתה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מלסקל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עוקבא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קשקושי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שנאסרו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</w:p>
    <w:p w:rsidR="00000000" w:rsidDel="00000000" w:rsidP="00000000" w:rsidRDefault="00000000" w:rsidRPr="00000000" w14:paraId="00000078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A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והנך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ונטיעה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והשקאה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דצריכות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מקרי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לעשותן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דמסקינן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משדך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כרמך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דהני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זימנא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דכולהו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אהדדי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נימוקי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E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הספיחין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מאיליהן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הקרקע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נאסרת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שדך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תזרע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ומינייהו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מזבלין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ומקרסמין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חתיכת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היבשים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ומזרדין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שענפיו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ומפסגין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שנופו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שקושרין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יכבדו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דסגי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דצריכה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מיקרי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נימוקי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בשלמא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קילון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טירחא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יתירתא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במתניתין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בחולו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הרווחה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יתירא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טרחינן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וכדתנן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ממימי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גשמים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ממימי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קילון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כדפירש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במתניתין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יהונתן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מלוניל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משניות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עוגיאות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כדמוכח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עוגיאות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שחופרים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סביבות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שיתעכבו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']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תעגנה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עכוב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8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כעודר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שמכשיר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אגפיה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בתחלה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דלעודר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דדרך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שחופר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משליכה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לחוץ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ולמאן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שמכשיר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אגפיה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משליכה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למרחוק</w:t>
      </w:r>
    </w:p>
    <w:p w:rsidR="00000000" w:rsidDel="00000000" w:rsidP="00000000" w:rsidRDefault="00000000" w:rsidRPr="00000000" w14:paraId="00000087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יהונתן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מלוניל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B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השלהין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השלהין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ישקם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דהרוחה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8C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יהונתן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מלוניל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משניות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D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הספיחין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מאליהן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נאסרת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כדכתי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שדך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תזרע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ומיניהו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מזבלין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ומקרסמין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חתיכת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היבשים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ומזרדין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שענפיו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ומפסגין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שנופו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שקושרין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יכבדו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דסגי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ונטיעה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השקאה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דצריכה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מיקרי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העמק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שאילתא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2">
      <w:pPr>
        <w:bidi w:val="1"/>
        <w:spacing w:line="240" w:lineRule="auto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המיוחדין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שפירש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והקשו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שחשיב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לאיסורא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ואינן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ויישבו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שבמקומן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ומלבד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הדוחק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דקדק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נוסחא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שמיוחדת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לעבודת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הקרקע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לגדולין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דקדוק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הברייתא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'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לאפוקי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דגריס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שבשדה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ושבכרם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דממעט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בשניהן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'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הזרע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מיוחדין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לאפוקי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חפירות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ונקעים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שנעשים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לתשמיש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ולשתיה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spacing w:line="240" w:lineRule="auto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7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מיוחס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'.: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8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שמסתם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בקעים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דאית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רווחא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דאסיר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'.: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C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סתומי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יכנס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הבקעים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קשקוש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ולהשביחו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וחשיבא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D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גיזום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בדאורייתא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שמשון</w:t>
      </w:r>
    </w:p>
    <w:p w:rsidR="00000000" w:rsidDel="00000000" w:rsidP="00000000" w:rsidRDefault="00000000" w:rsidRPr="00000000" w14:paraId="000000A2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A3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מסקלין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ויסקלהו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שמוציאין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האבנים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סקלו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מאבן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ישעיה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A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מקרסמין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קרסמוה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נמלים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קירסום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שמחתך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7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מזרדין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ומניח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זירוד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9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מפסלין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שנוטל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הפסולת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שנוטל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שתתעבה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קורת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B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כזירודה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דתלתא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דכשנת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נכנסת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נכנסת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בפיסולו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העצרת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B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ab/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עריכה</w:t>
      </w:r>
    </w:p>
    <w:p w:rsidR="00000000" w:rsidDel="00000000" w:rsidP="00000000" w:rsidRDefault="00000000" w:rsidRPr="00000000" w14:paraId="000000B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לוקה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הזריעה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הקצירה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הבצירה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האילנות</w:t>
      </w:r>
    </w:p>
    <w:p w:rsidR="00000000" w:rsidDel="00000000" w:rsidP="00000000" w:rsidRDefault="00000000" w:rsidRPr="00000000" w14:paraId="000000B2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B7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לזנב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ולקצץ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להעבות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הגזע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שהרואה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מבחין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כשחותך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היבשים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כשמתכוין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כשמתכוין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הכריתה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הזינוב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והקציצה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שהעיקר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תהי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להשביחו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מחשש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ולהפריחו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יתקלקל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להעבות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פירותיו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חותכין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ההתיכה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להרבות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ולהעבות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שהכונה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קציצת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ענפיו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שהענפים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יקצצו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מזיקים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שלענין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הפירות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וגוף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מתכונים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ועכ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משאר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החילוק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במלאכות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שכשהיא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גזרו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האסורה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לאברויי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ההיתרים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במזנב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בגפנים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וקוצץ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נאמרים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כשמתכוין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שמכוין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לתועלת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לאוקמי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אילנא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הזימור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נקט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והשווה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ינאי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שהתיר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לזרוע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הדחק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לסוגיה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B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והואיל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ארנונא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כדאמרי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בורר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מכריז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ינאי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פוקו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וזרעו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ארנונא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דחולין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החכם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הפוסק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סכנת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יפרעו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קסבר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להפקיע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שהאמת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כדבריהם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החכם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דלתירוץ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דמדרבנן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אעפ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דארנונא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ארנונא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לחרוש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ולזרוע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דמיירי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חשו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דממונא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דשביעית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ומילתא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דפסידא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השלחין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נב</w:t>
      </w:r>
    </w:p>
    <w:p w:rsidR="00000000" w:rsidDel="00000000" w:rsidP="00000000" w:rsidRDefault="00000000" w:rsidRPr="00000000" w14:paraId="000000BD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spacing w:line="240" w:lineRule="auto"/>
        <w:ind w:firstLine="284"/>
        <w:jc w:val="both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