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420" w:before="42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שיעור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כללי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ועציצים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בחממות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מנותק</w:t>
      </w:r>
    </w:p>
    <w:p w:rsidR="00000000" w:rsidDel="00000000" w:rsidP="00000000" w:rsidRDefault="00000000" w:rsidRPr="00000000" w14:paraId="0000000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מנותקים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420" w:before="420" w:lineRule="auto"/>
        <w:ind w:left="360" w:righ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1"/>
        </w:rPr>
        <w:t xml:space="preserve">גדרי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</w:p>
    <w:p w:rsidR="00000000" w:rsidDel="00000000" w:rsidP="00000000" w:rsidRDefault="00000000" w:rsidRPr="00000000" w14:paraId="0000000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spacing w:after="420" w:before="420" w:lineRule="auto"/>
        <w:ind w:left="360" w:righ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</w:p>
    <w:p w:rsidR="00000000" w:rsidDel="00000000" w:rsidP="00000000" w:rsidRDefault="00000000" w:rsidRPr="00000000" w14:paraId="0000000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מזהמין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וקוטמין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0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מחמתן</w:t>
      </w:r>
    </w:p>
    <w:p w:rsidR="00000000" w:rsidDel="00000000" w:rsidP="00000000" w:rsidRDefault="00000000" w:rsidRPr="00000000" w14:paraId="0000000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0B">
      <w:pPr>
        <w:numPr>
          <w:ilvl w:val="0"/>
          <w:numId w:val="16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</w:p>
    <w:p w:rsidR="00000000" w:rsidDel="00000000" w:rsidP="00000000" w:rsidRDefault="00000000" w:rsidRPr="00000000" w14:paraId="0000000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0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1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דבנשרשו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נטהרו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כנטועין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בהשרשתן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באלכסון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נוטע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הצמחים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ורצוי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שנשלל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תועלת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הגשמים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והטללים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והאויר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השמש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לרועץ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1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רגיל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שהצמחים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לגידול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גשמים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</w:p>
    <w:p w:rsidR="00000000" w:rsidDel="00000000" w:rsidP="00000000" w:rsidRDefault="00000000" w:rsidRPr="00000000" w14:paraId="0000001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2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</w:p>
    <w:p w:rsidR="00000000" w:rsidDel="00000000" w:rsidP="00000000" w:rsidRDefault="00000000" w:rsidRPr="00000000" w14:paraId="0000002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גרסי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ייבש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2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2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הראי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2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תזמור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2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והכונה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420" w:before="420" w:lineRule="auto"/>
        <w:ind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ולפ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נסתפקו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ליתא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והיינו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דושבתה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קיימא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כשעובד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שנטוע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כד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הירוש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כלאים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המובא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', </w:t>
      </w:r>
      <w:r w:rsidDel="00000000" w:rsidR="00000000" w:rsidRPr="00000000">
        <w:rPr>
          <w:b w:val="1"/>
          <w:rtl w:val="1"/>
        </w:rPr>
        <w:t xml:space="preserve">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דשביתת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הארץ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שדך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וכרמך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",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בגלוי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דומיא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דשדך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וכרמך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הבית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-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הנטיעות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דכלאים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3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]. *) </w:t>
      </w:r>
      <w:r w:rsidDel="00000000" w:rsidR="00000000" w:rsidRPr="00000000">
        <w:rPr>
          <w:rtl w:val="1"/>
        </w:rPr>
        <w:t xml:space="preserve">נדפס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לונץ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3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</w:p>
    <w:p w:rsidR="00000000" w:rsidDel="00000000" w:rsidP="00000000" w:rsidRDefault="00000000" w:rsidRPr="00000000" w14:paraId="0000003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שבזמנינו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למחסן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שנשלל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לרועץ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גליון</w:t>
      </w:r>
      <w:r w:rsidDel="00000000" w:rsidR="00000000" w:rsidRPr="00000000">
        <w:rPr>
          <w:rtl w:val="1"/>
        </w:rPr>
        <w:t xml:space="preserve"> 78),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שמיעטו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פראנק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ובמ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הממתיקה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רנד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ופשורי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והגרצ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פראנק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שמצדד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טוקצינסקי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ובהערה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3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spacing w:after="420" w:before="420" w:lineRule="auto"/>
        <w:ind w:left="360" w:righ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</w:p>
    <w:p w:rsidR="00000000" w:rsidDel="00000000" w:rsidP="00000000" w:rsidRDefault="00000000" w:rsidRPr="00000000" w14:paraId="0000003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</w:p>
    <w:p w:rsidR="00000000" w:rsidDel="00000000" w:rsidP="00000000" w:rsidRDefault="00000000" w:rsidRPr="00000000" w14:paraId="0000004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תזמור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15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</w:p>
    <w:p w:rsidR="00000000" w:rsidDel="00000000" w:rsidP="00000000" w:rsidRDefault="00000000" w:rsidRPr="00000000" w14:paraId="0000004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13"/>
        </w:numPr>
        <w:bidi w:val="1"/>
        <w:spacing w:after="0" w:afterAutospacing="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העדר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העמדת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בספיחים</w:t>
      </w:r>
    </w:p>
    <w:p w:rsidR="00000000" w:rsidDel="00000000" w:rsidP="00000000" w:rsidRDefault="00000000" w:rsidRPr="00000000" w14:paraId="0000004B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דלישתרא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זריקן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ותיבת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קושית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</w:p>
    <w:p w:rsidR="00000000" w:rsidDel="00000000" w:rsidP="00000000" w:rsidRDefault="00000000" w:rsidRPr="00000000" w14:paraId="0000005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18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ספקות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5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numPr>
          <w:ilvl w:val="0"/>
          <w:numId w:val="19"/>
        </w:numPr>
        <w:bidi w:val="1"/>
        <w:spacing w:after="0" w:afterAutospacing="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6">
      <w:pPr>
        <w:numPr>
          <w:ilvl w:val="0"/>
          <w:numId w:val="19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קושיות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</w:p>
    <w:p w:rsidR="00000000" w:rsidDel="00000000" w:rsidP="00000000" w:rsidRDefault="00000000" w:rsidRPr="00000000" w14:paraId="0000005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איפשיטא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דלדידן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שהקילו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מחמירינן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בשותפות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דלהכי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דהירושלמי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לבזבזין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שבחלה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לבזבז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מצטרפים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מחמירינן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ומילואים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וספקם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שנתגלגלו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קצט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ואורויי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</w:p>
    <w:p w:rsidR="00000000" w:rsidDel="00000000" w:rsidP="00000000" w:rsidRDefault="00000000" w:rsidRPr="00000000" w14:paraId="0000005B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הגרשז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יקלטו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מתיבת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שמיותר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</w:p>
    <w:p w:rsidR="00000000" w:rsidDel="00000000" w:rsidP="00000000" w:rsidRDefault="00000000" w:rsidRPr="00000000" w14:paraId="0000006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i w:val="1"/>
          <w:rtl w:val="1"/>
        </w:rPr>
        <w:t xml:space="preserve">ל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keepNext w:val="0"/>
        <w:bidi w:val="1"/>
        <w:spacing w:after="80" w:before="360" w:lineRule="auto"/>
        <w:ind w:firstLine="284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67id98a2q88x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עציץ</w:t>
      </w:r>
    </w:p>
    <w:p w:rsidR="00000000" w:rsidDel="00000000" w:rsidP="00000000" w:rsidRDefault="00000000" w:rsidRPr="00000000" w14:paraId="0000006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bidi w:val="1"/>
        <w:spacing w:after="420" w:before="420" w:lineRule="auto"/>
        <w:ind w:left="360" w:right="7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): </w:t>
      </w:r>
    </w:p>
    <w:p w:rsidR="00000000" w:rsidDel="00000000" w:rsidP="00000000" w:rsidRDefault="00000000" w:rsidRPr="00000000" w14:paraId="0000006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6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והצומח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7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7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</w:p>
    <w:p w:rsidR="00000000" w:rsidDel="00000000" w:rsidP="00000000" w:rsidRDefault="00000000" w:rsidRPr="00000000" w14:paraId="0000007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</w:p>
    <w:p w:rsidR="00000000" w:rsidDel="00000000" w:rsidP="00000000" w:rsidRDefault="00000000" w:rsidRPr="00000000" w14:paraId="0000007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bidi w:val="1"/>
        <w:spacing w:after="0" w:afterAutospacing="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הצגת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הגרשז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7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שבצדו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הערת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</w:t>
      </w:r>
      <w:r w:rsidDel="00000000" w:rsidR="00000000" w:rsidRPr="00000000">
        <w:rPr>
          <w:rtl w:val="1"/>
        </w:rPr>
        <w:t xml:space="preserve">/ +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זוסמאנאוויץ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דווילקאמיר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בטומאתו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המשותפת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למחובר</w:t>
      </w:r>
      <w:r w:rsidDel="00000000" w:rsidR="00000000" w:rsidRPr="00000000">
        <w:rPr>
          <w:rtl w:val="1"/>
        </w:rPr>
        <w:t xml:space="preserve">.+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מפעפעין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מפעפעין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דמפעפע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ועוברת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לדלעת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ומפעפעין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מפעפעין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ויונקין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מקוטנא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דלעולם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פרוזבול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פרוזבול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במקרקעי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B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דבסוריא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דבסוריא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ומפעפעין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מאדמתך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אדמתך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מאדמתך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כנטועין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09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שבלא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ותורמין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למיפשטיה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ועיי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שנתלשו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נכשרין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ומהודק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אארעא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כסתום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שבירושלמי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דמסתפקנא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נקבו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': </w:t>
      </w:r>
      <w:r w:rsidDel="00000000" w:rsidR="00000000" w:rsidRPr="00000000">
        <w:rPr>
          <w:rtl w:val="1"/>
        </w:rPr>
        <w:t xml:space="preserve">בדאשרוש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ופירושם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מפעפעין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שינקבו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בעירבוביא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כשמטמין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יצמיחו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ונטיעה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זמירה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נוסחאות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אברבנאל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והצריכו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B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מקוטנא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חוצץ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עכתו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והלום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וטבעו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פרוזבול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מפעפעין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"</w:t>
      </w:r>
      <w:r w:rsidDel="00000000" w:rsidR="00000000" w:rsidRPr="00000000">
        <w:rPr>
          <w:rtl w:val="1"/>
        </w:rPr>
        <w:t xml:space="preserve">שרשי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9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שמשכירי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ומיקיימי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מוזהרין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למקרקעי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ופרדסים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בתקנתם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שהנכרים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שעבודתו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אלקיך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מסתפקנא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במנח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]. </w:t>
      </w:r>
    </w:p>
    <w:p w:rsidR="00000000" w:rsidDel="00000000" w:rsidP="00000000" w:rsidRDefault="00000000" w:rsidRPr="00000000" w14:paraId="000000A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ואיסורן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דנטיעת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A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5">
      <w:pPr>
        <w:pStyle w:val="Heading1"/>
        <w:keepNext w:val="0"/>
        <w:bidi w:val="1"/>
        <w:spacing w:after="120" w:before="480" w:lineRule="auto"/>
        <w:ind w:firstLine="284"/>
        <w:jc w:val="both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eq6mww4f8vi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בעציץ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נקוב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ושאינו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נקוב</w:t>
      </w: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1"/>
        </w:rPr>
        <w:t xml:space="preserve">:</w:t>
      </w:r>
    </w:p>
    <w:p w:rsidR="00000000" w:rsidDel="00000000" w:rsidP="00000000" w:rsidRDefault="00000000" w:rsidRPr="00000000" w14:paraId="000000A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A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1)</w:t>
      </w:r>
    </w:p>
    <w:p w:rsidR="00000000" w:rsidDel="00000000" w:rsidP="00000000" w:rsidRDefault="00000000" w:rsidRPr="00000000" w14:paraId="000000A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B">
      <w:pPr>
        <w:bidi w:val="1"/>
        <w:spacing w:after="420" w:before="420" w:lineRule="auto"/>
        <w:ind w:firstLine="0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עציץ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נקוב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A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A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צפרניו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הפוקסת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B0">
      <w:pPr>
        <w:pStyle w:val="Heading4"/>
        <w:keepNext w:val="0"/>
        <w:bidi w:val="1"/>
        <w:spacing w:after="40" w:line="240" w:lineRule="auto"/>
        <w:ind w:left="0" w:right="0"/>
        <w:rPr>
          <w:sz w:val="22"/>
          <w:szCs w:val="22"/>
        </w:rPr>
      </w:pPr>
      <w:bookmarkStart w:colFirst="0" w:colLast="0" w:name="_93wk9kujy24f" w:id="2"/>
      <w:bookmarkEnd w:id="2"/>
      <w:r w:rsidDel="00000000" w:rsidR="00000000" w:rsidRPr="00000000">
        <w:rPr>
          <w:sz w:val="22"/>
          <w:szCs w:val="22"/>
          <w:rtl w:val="1"/>
        </w:rPr>
        <w:t xml:space="preserve">משנה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מסכת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שבת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פרק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משנה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</w:t>
      </w:r>
    </w:p>
    <w:p w:rsidR="00000000" w:rsidDel="00000000" w:rsidP="00000000" w:rsidRDefault="00000000" w:rsidRPr="00000000" w14:paraId="000000B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B3">
      <w:pPr>
        <w:bidi w:val="1"/>
        <w:spacing w:after="420" w:before="420" w:lineRule="auto"/>
        <w:ind w:firstLine="0"/>
        <w:rPr>
          <w:b w:val="1"/>
        </w:rPr>
      </w:pPr>
      <w:r w:rsidDel="00000000" w:rsidR="00000000" w:rsidRPr="00000000">
        <w:rPr>
          <w:rtl w:val="1"/>
        </w:rPr>
        <w:t xml:space="preserve">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בעציץ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B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B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חומש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B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8">
      <w:pPr>
        <w:pStyle w:val="Heading2"/>
        <w:keepNext w:val="0"/>
        <w:bidi w:val="1"/>
        <w:spacing w:after="80" w:before="360" w:lineRule="auto"/>
        <w:ind w:firstLine="284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97tf8z35kci6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עציץ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בשביעית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: </w:t>
      </w:r>
    </w:p>
    <w:p w:rsidR="00000000" w:rsidDel="00000000" w:rsidP="00000000" w:rsidRDefault="00000000" w:rsidRPr="00000000" w14:paraId="000000B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BA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B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B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בודקין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באדמה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ובעציץ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B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בודקין</w:t>
      </w:r>
      <w:r w:rsidDel="00000000" w:rsidR="00000000" w:rsidRPr="00000000">
        <w:rPr>
          <w:rtl w:val="1"/>
        </w:rPr>
        <w:t xml:space="preserve">..'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C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C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ְּ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':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C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C5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C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C7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C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C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A">
      <w:pPr>
        <w:bidi w:val="1"/>
        <w:spacing w:after="420" w:before="420" w:lineRule="auto"/>
        <w:ind w:left="360" w:right="72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</w:p>
    <w:p w:rsidR="00000000" w:rsidDel="00000000" w:rsidP="00000000" w:rsidRDefault="00000000" w:rsidRPr="00000000" w14:paraId="000000CB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C">
      <w:pPr>
        <w:bidi w:val="1"/>
        <w:spacing w:after="420" w:before="420" w:lineRule="auto"/>
        <w:ind w:left="360" w:right="72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</w:p>
    <w:p w:rsidR="00000000" w:rsidDel="00000000" w:rsidP="00000000" w:rsidRDefault="00000000" w:rsidRPr="00000000" w14:paraId="000000C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8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</w:p>
    <w:p w:rsidR="00000000" w:rsidDel="00000000" w:rsidP="00000000" w:rsidRDefault="00000000" w:rsidRPr="00000000" w14:paraId="000000D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שמטה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דמסקנת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דהתוס</w:t>
      </w:r>
      <w:r w:rsidDel="00000000" w:rsidR="00000000" w:rsidRPr="00000000">
        <w:rPr>
          <w:rtl w:val="1"/>
        </w:rPr>
        <w:t xml:space="preserve">' </w:t>
      </w:r>
    </w:p>
    <w:p w:rsidR="00000000" w:rsidDel="00000000" w:rsidP="00000000" w:rsidRDefault="00000000" w:rsidRPr="00000000" w14:paraId="000000D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D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שהבאתי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]: </w:t>
      </w:r>
    </w:p>
    <w:p w:rsidR="00000000" w:rsidDel="00000000" w:rsidP="00000000" w:rsidRDefault="00000000" w:rsidRPr="00000000" w14:paraId="000000D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5">
      <w:pPr>
        <w:numPr>
          <w:ilvl w:val="0"/>
          <w:numId w:val="17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</w:t>
      </w:r>
    </w:p>
    <w:p w:rsidR="00000000" w:rsidDel="00000000" w:rsidP="00000000" w:rsidRDefault="00000000" w:rsidRPr="00000000" w14:paraId="000000D6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ושבתה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7">
      <w:pPr>
        <w:numPr>
          <w:ilvl w:val="0"/>
          <w:numId w:val="12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להחמיר</w:t>
      </w:r>
      <w:r w:rsidDel="00000000" w:rsidR="00000000" w:rsidRPr="00000000">
        <w:rPr>
          <w:u w:val="single"/>
          <w:rtl w:val="1"/>
        </w:rPr>
        <w:t xml:space="preserve">-</w:t>
      </w:r>
    </w:p>
    <w:p w:rsidR="00000000" w:rsidDel="00000000" w:rsidP="00000000" w:rsidRDefault="00000000" w:rsidRPr="00000000" w14:paraId="000000D8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הסוגריים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D9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DA">
      <w:pPr>
        <w:numPr>
          <w:ilvl w:val="0"/>
          <w:numId w:val="14"/>
        </w:numPr>
        <w:bidi w:val="1"/>
        <w:spacing w:after="420" w:lineRule="auto"/>
        <w:ind w:left="720" w:hanging="360"/>
        <w:jc w:val="left"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</w:p>
    <w:p w:rsidR="00000000" w:rsidDel="00000000" w:rsidP="00000000" w:rsidRDefault="00000000" w:rsidRPr="00000000" w14:paraId="000000DB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הפאה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מתיבת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שמיותר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D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ובשבת</w:t>
      </w:r>
    </w:p>
    <w:p w:rsidR="00000000" w:rsidDel="00000000" w:rsidP="00000000" w:rsidRDefault="00000000" w:rsidRPr="00000000" w14:paraId="000000DE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באהלה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113</w:t>
      </w:r>
    </w:p>
    <w:p w:rsidR="00000000" w:rsidDel="00000000" w:rsidP="00000000" w:rsidRDefault="00000000" w:rsidRPr="00000000" w14:paraId="000000DF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0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רימון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1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השחור</w:t>
      </w:r>
      <w:r w:rsidDel="00000000" w:rsidR="00000000" w:rsidRPr="00000000">
        <w:rPr>
          <w:rtl w:val="1"/>
        </w:rPr>
        <w:t xml:space="preserve"> 25 </w:t>
      </w:r>
      <w:r w:rsidDel="00000000" w:rsidR="00000000" w:rsidRPr="00000000">
        <w:rPr>
          <w:rtl w:val="1"/>
        </w:rPr>
        <w:t xml:space="preserve">ובמקורותיו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2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3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סיכומים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E4">
      <w:pPr>
        <w:bidi w:val="1"/>
        <w:spacing w:after="420" w:before="420" w:lineRule="auto"/>
        <w:ind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2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2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2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ind w:firstLine="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firstLine="0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firstLine="0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  <w:ind w:left="368" w:right="426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