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720" w:top="720" w:left="720" w:right="720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שופטים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התשפ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בחוקיך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ותצפה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תחקור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העתידות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ולחלקו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השגות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שכחת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העשין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שנצטוינו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שופטי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הצוואה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ושנאמין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נדרוש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מנביאיו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מאנשי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חסידיו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ותומים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נדרוש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מהוברי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מזולתם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שיבואו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הככבים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והמזלות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כרצונו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וקוסמים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ונאמין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התקרבנו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תרגומו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שלאנקלוס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בדחלתא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בחוקיך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נצטוה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והחולק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הכשדים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מייחסים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ולירח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ולכוכבים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בזולתו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יסתכל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בעניינם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שיוצרם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והמסדר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כרצונו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מאצטגנינות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והזכירה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(=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צוואה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המצות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כולן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בדרכי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ההולכים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בחשבונו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והמתבאר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רבותינו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שפרשנו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שופטים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תולדות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דרכיו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הנגלית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נפלאה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דרכיו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בגבול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וקצבה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תולדות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מעוננים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ושלימות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ואנחנו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נביאים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צריכין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להתחזק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חכמת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שחטאנו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נביאים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עזבנו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ונמשכנו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חכמות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חיצונות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צריכין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בחסרון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הנבואה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ודל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אעפ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מלבטוח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ובנדיבים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הנסיון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שופטים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מקרבך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דכתי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להולכים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פנימיות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צפנת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הטבעיות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חכמות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וכישופים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הענינים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ומבינים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להניח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החכמות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זוכין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להתגלות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הגנוז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הפנימיות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והבטחון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נביאים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שנמשכו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למדבר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זכרתי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שמבטלין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והמלאכות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הנשמה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כדאיתא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מחזיר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חזקיהו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לישעיהו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חזקיהו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ישעיהו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ורביה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דחזאי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דנפקי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דרחמנא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דמפקדת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איבעי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דניחא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קמיה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דגרמא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ודידך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ונפקי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דמעלו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נגזרה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נבואתך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מקובלני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מונחת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צוארו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הרחמים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שופטים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ביארנו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שסח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לקרבנות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ולמקריבים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מסמלת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להתמסרותנו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יחסיו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להתמסר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ייעודו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סגולה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מתוארת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במשמעותה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המוחשית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ומעשינו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מנותקת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בשלמותנו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האליליות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שתוארו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בפסוקים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הקודמים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מגבול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ומדריך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עתידנו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למעשינו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שנמנע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עיוור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שולט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והחולדה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צפוי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מנחשים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תאמרנה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מאזניים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להכריע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שואלים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עתידנו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ומחדלנו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אלמלא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ההוראה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ומחדלנו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מבטל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בגורלו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ובמעשיו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ודעתו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נתונה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לתפקיד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המוטל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להצלחתו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עתידו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משליך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יהבו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העליונה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ומחדליו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שנתמלאה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בנאמנות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מנוחתו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ודאגה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חודרת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החיובית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מהאיסור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השלילי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האליליות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בפסוקים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הקודמים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שנתרחק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הסוגים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אלבו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העיקרים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הנבואה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קוסמים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והחוזים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בכוכבים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האנושי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אריז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הפסוקים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משפטים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ושמתי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לרמוז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בחסדו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ויקבלוהו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קוראיו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מנמירוב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לקוטי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תחומין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ועירובין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מאפטא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אוהב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מסעי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המקלט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לרמז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נוהגת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נצחית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בשגגה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ששגג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בחטאים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ומשחית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באהבה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ובמסירות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בהששה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מקלט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ואהבת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ותורתו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נתכפר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בשגגה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המקלט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קולטות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קולטות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קולטות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ויבואר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דרכינו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ונשמתו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שמסירות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וכמבואר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בהפוסקים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קולטות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ואהבת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ואהבת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ובפרט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להשכיל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בהשכלתו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במושכלות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העליונים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קולטות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יזכנו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ולאהבה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אהרן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יעקב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גרינברג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עיטורי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שופטים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מקוברין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ולגדולתו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הבורא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החקירה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אלשיך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בחדרי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אלקיך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אלקיך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פינחס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מקוריץ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מצינו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נביאים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לקיימם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אלקיך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אלקיך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הענווה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והצניעות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והצנע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אלקיך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שבשתי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המידות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בנקל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לרמות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להתחכם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ולהעמיד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ותחבולות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מזויפת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הגאוה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מתעטפת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אמיתית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מסולפת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אלקיך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והצנע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אלקיך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התמימות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והענוה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ליינר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פדיון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הפדיון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והטמינו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בצלחת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הצרכתי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לברר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ולנקות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נגיעה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בחסידי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קאצק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וחריף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ולמדן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חידושי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בעדתי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וחריף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ולמדן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נגיעה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קניתך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שבררתי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כוונתי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10" w:top="720" w:left="720" w:right="720" w:header="709" w:footer="709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