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523" w:rsidRPr="002E1523" w:rsidRDefault="002E1523" w:rsidP="002E1523">
      <w:pPr>
        <w:rPr>
          <w:rFonts w:ascii="Tahoma"/>
          <w:b/>
          <w:bCs/>
          <w:sz w:val="36"/>
          <w:rtl/>
        </w:rPr>
      </w:pPr>
      <w:r>
        <w:rPr>
          <w:rFonts w:ascii="Tahoma" w:hint="cs"/>
          <w:b/>
          <w:bCs/>
          <w:sz w:val="36"/>
          <w:rtl/>
        </w:rPr>
        <w:t xml:space="preserve">חדריו עמ' </w:t>
      </w:r>
      <w:proofErr w:type="spellStart"/>
      <w:r>
        <w:rPr>
          <w:rFonts w:ascii="Tahoma" w:hint="cs"/>
          <w:b/>
          <w:bCs/>
          <w:sz w:val="36"/>
          <w:rtl/>
        </w:rPr>
        <w:t>סג</w:t>
      </w:r>
      <w:proofErr w:type="spellEnd"/>
    </w:p>
    <w:p w:rsidR="002E1523" w:rsidRPr="00CE4074" w:rsidRDefault="002E1523" w:rsidP="002E1523">
      <w:pPr>
        <w:rPr>
          <w:rtl/>
        </w:rPr>
      </w:pPr>
      <w:proofErr w:type="spellStart"/>
      <w:r w:rsidRPr="00CE4074">
        <w:rPr>
          <w:rFonts w:ascii="Tahoma"/>
          <w:sz w:val="36"/>
          <w:rtl/>
        </w:rPr>
        <w:t>הֶגְיוֹנוֹתַי</w:t>
      </w:r>
      <w:proofErr w:type="spellEnd"/>
      <w:r w:rsidRPr="00CE4074">
        <w:rPr>
          <w:rFonts w:ascii="Tahoma"/>
          <w:sz w:val="36"/>
          <w:rtl/>
        </w:rPr>
        <w:t xml:space="preserve"> הִנָּם מִנִּי-יָם רְחָבִים, בְּשָׂפָה </w:t>
      </w:r>
      <w:proofErr w:type="spellStart"/>
      <w:r w:rsidRPr="00CE4074">
        <w:rPr>
          <w:rFonts w:ascii="Tahoma"/>
          <w:sz w:val="36"/>
          <w:rtl/>
        </w:rPr>
        <w:t>פְּרָזִית</w:t>
      </w:r>
      <w:proofErr w:type="spellEnd"/>
      <w:r w:rsidRPr="00CE4074">
        <w:rPr>
          <w:rFonts w:ascii="Tahoma"/>
          <w:sz w:val="36"/>
          <w:rtl/>
        </w:rPr>
        <w:t xml:space="preserve"> </w:t>
      </w:r>
      <w:proofErr w:type="spellStart"/>
      <w:r w:rsidRPr="00CE4074">
        <w:rPr>
          <w:rFonts w:ascii="Tahoma"/>
          <w:sz w:val="36"/>
          <w:rtl/>
        </w:rPr>
        <w:t>לְהַבִּיעָם</w:t>
      </w:r>
      <w:proofErr w:type="spellEnd"/>
      <w:r w:rsidRPr="00CE4074">
        <w:rPr>
          <w:rFonts w:ascii="Tahoma"/>
          <w:sz w:val="36"/>
          <w:rtl/>
        </w:rPr>
        <w:t xml:space="preserve"> בַּל אוּכָלָה. שֶׁלֹּא בְּטוֹבָתִי הִנְנִי </w:t>
      </w:r>
      <w:proofErr w:type="spellStart"/>
      <w:r w:rsidRPr="00CE4074">
        <w:rPr>
          <w:rFonts w:ascii="Tahoma"/>
          <w:sz w:val="36"/>
          <w:rtl/>
        </w:rPr>
        <w:t>מֻכְרָח</w:t>
      </w:r>
      <w:proofErr w:type="spellEnd"/>
      <w:r w:rsidRPr="00CE4074">
        <w:rPr>
          <w:rFonts w:ascii="Tahoma"/>
          <w:sz w:val="36"/>
          <w:rtl/>
        </w:rPr>
        <w:t xml:space="preserve"> לִהְיוֹת מְשׁוֹרֵר, אֲבָל מְשׁוֹרֵר חָפְשִׁי. לֹא אוּכַל לִהְיוֹת קָשׁוּר לְנַחֲלָתָם שֶׁל הַמִּשְׁקָל וְהֶחָרוּז. הִנְנִי בּוֹרֵחַ מֵהַפְּרוֹזָה הַפְּשׁוּטָה מִפְּנֵי הַכֹּבֶד שֶׁיֵּשׁ בָּהּ, מִפְּנֵי צִמְצוּמָהּ, וְלֹא אוּכַל לְהַכְנִיס אֶת עַצְמִי בְּצִמְצוּמִים אֲחֵרִים, שֶׁאוּלַי הִנָּם יוֹתֵר גְּדוֹלִים וּמְעִיקִים מֵהַמּוּעָקָה שֶׁל הַפְּרוֹזָה, שֶׁמִּמֶּנָּה אֲנִי בּוֹרֵחַ.</w:t>
      </w:r>
    </w:p>
    <w:p w:rsidR="002E1523" w:rsidRDefault="002E1523" w:rsidP="002E1523">
      <w:pPr>
        <w:rPr>
          <w:rtl/>
        </w:rPr>
      </w:pPr>
    </w:p>
    <w:p w:rsidR="002E1523" w:rsidRPr="002E1523" w:rsidRDefault="002E1523" w:rsidP="002E1523">
      <w:pPr>
        <w:rPr>
          <w:b/>
          <w:bCs/>
          <w:rtl/>
        </w:rPr>
      </w:pPr>
      <w:r>
        <w:rPr>
          <w:rFonts w:hint="cs"/>
          <w:b/>
          <w:bCs/>
          <w:rtl/>
        </w:rPr>
        <w:t>קובץ א פסקה רצה</w:t>
      </w:r>
    </w:p>
    <w:p w:rsidR="002E1523" w:rsidRDefault="002E1523" w:rsidP="002E1523">
      <w:pPr>
        <w:rPr>
          <w:rFonts w:ascii="Tahoma"/>
          <w:sz w:val="36"/>
          <w:rtl/>
        </w:rPr>
      </w:pPr>
      <w:r w:rsidRPr="00CE4074">
        <w:rPr>
          <w:rFonts w:ascii="Tahoma"/>
          <w:sz w:val="36"/>
          <w:rtl/>
        </w:rPr>
        <w:t>נִשְׁמָתִי רְחָבָה, גְּדוֹלָה וְאַדִּירָה. אֲנִי מַרְגִּישׁ תִּפְאַרְתִּי וַהֲדָר רוּחִי בְּקִרְבִּי. מָלֵא אָנֹכִי עֹז וָחֹפֶשׁ. הַפַּחְדָנוּת הַמִּתְעַטֶּפֶת בִּלְבוּשׁ שֶׁל יִרְאַת שָׁמַיִם לֹא תּוּכַל לְהוֹלִיךְ אוֹתִי שׁוֹלָל, צוֹפֶה אֲנִי אֶת פְּנֵי הָאֱמֶת, הוֹד הַקֹּדֶשׁ מִתְנוֹצֵץ</w:t>
      </w:r>
      <w:r w:rsidRPr="00CE4074">
        <w:rPr>
          <w:rFonts w:ascii="Tahoma"/>
          <w:sz w:val="36"/>
        </w:rPr>
        <w:t xml:space="preserve"> </w:t>
      </w:r>
      <w:r w:rsidRPr="00CE4074">
        <w:rPr>
          <w:rFonts w:ascii="Tahoma"/>
          <w:sz w:val="36"/>
          <w:rtl/>
        </w:rPr>
        <w:t>לִי.</w:t>
      </w:r>
      <w:r>
        <w:rPr>
          <w:rFonts w:ascii="Tahoma" w:hint="cs"/>
          <w:sz w:val="36"/>
          <w:rtl/>
        </w:rPr>
        <w:t xml:space="preserve">  </w:t>
      </w:r>
      <w:r w:rsidRPr="00CE4074">
        <w:rPr>
          <w:rFonts w:ascii="Tahoma"/>
          <w:sz w:val="36"/>
          <w:rtl/>
        </w:rPr>
        <w:t xml:space="preserve">בְּלֹא מַעְצוֹר אֲנִי צָרִיךְ לַחְשֹׁב, בְּלֹא מַעְצוֹר לְהַצִּיג עַל </w:t>
      </w:r>
      <w:proofErr w:type="spellStart"/>
      <w:r w:rsidRPr="00CE4074">
        <w:rPr>
          <w:rFonts w:ascii="Tahoma"/>
          <w:sz w:val="36"/>
          <w:rtl/>
        </w:rPr>
        <w:t>הַגִּלָּיוֹן</w:t>
      </w:r>
      <w:proofErr w:type="spellEnd"/>
      <w:r w:rsidRPr="00CE4074">
        <w:rPr>
          <w:rFonts w:ascii="Tahoma"/>
          <w:sz w:val="36"/>
          <w:rtl/>
        </w:rPr>
        <w:t xml:space="preserve"> אֶת כָּל הָגוּת לְבָבִי. אֵינִי מַקְפִּיד אֵיךְ יַעֲלוּ הַדְּבָרִים, בְּדֶרֶךְ נִסְתָּר אוֹ נִגְלֶה – </w:t>
      </w:r>
      <w:proofErr w:type="spellStart"/>
      <w:r w:rsidRPr="00CE4074">
        <w:rPr>
          <w:rFonts w:ascii="Tahoma"/>
          <w:sz w:val="36"/>
          <w:rtl/>
        </w:rPr>
        <w:t>הַכֹּל</w:t>
      </w:r>
      <w:proofErr w:type="spellEnd"/>
      <w:r w:rsidRPr="00CE4074">
        <w:rPr>
          <w:rFonts w:ascii="Tahoma"/>
          <w:sz w:val="36"/>
          <w:rtl/>
        </w:rPr>
        <w:t xml:space="preserve"> אֶחָד, סוֹף-כָּל-סוֹף </w:t>
      </w:r>
      <w:proofErr w:type="spellStart"/>
      <w:r w:rsidRPr="00CE4074">
        <w:rPr>
          <w:rFonts w:ascii="Tahoma"/>
          <w:sz w:val="36"/>
          <w:rtl/>
        </w:rPr>
        <w:t>הַכֹּל</w:t>
      </w:r>
      <w:proofErr w:type="spellEnd"/>
      <w:r w:rsidRPr="00CE4074">
        <w:rPr>
          <w:rFonts w:ascii="Tahoma"/>
          <w:sz w:val="36"/>
          <w:rtl/>
        </w:rPr>
        <w:t xml:space="preserve"> יִתְנוֹצֵץ.</w:t>
      </w:r>
    </w:p>
    <w:p w:rsidR="002E1523" w:rsidRDefault="002E1523" w:rsidP="002E1523">
      <w:pPr>
        <w:rPr>
          <w:rFonts w:ascii="Tahoma"/>
          <w:sz w:val="36"/>
          <w:rtl/>
        </w:rPr>
      </w:pPr>
    </w:p>
    <w:p w:rsidR="002E1523" w:rsidRPr="002E1523" w:rsidRDefault="002E1523" w:rsidP="002E1523">
      <w:pPr>
        <w:rPr>
          <w:b/>
          <w:bCs/>
          <w:rtl/>
        </w:rPr>
      </w:pPr>
      <w:r>
        <w:rPr>
          <w:rFonts w:hint="cs"/>
          <w:b/>
          <w:bCs/>
          <w:rtl/>
        </w:rPr>
        <w:t>משנת הנזיר עמ' ס</w:t>
      </w:r>
    </w:p>
    <w:p w:rsidR="002E1523" w:rsidRDefault="002E1523" w:rsidP="002E1523">
      <w:pPr>
        <w:rPr>
          <w:rtl/>
        </w:rPr>
      </w:pPr>
      <w:r w:rsidRPr="00CE4074">
        <w:rPr>
          <w:rFonts w:hint="cs"/>
          <w:rtl/>
        </w:rPr>
        <w:t xml:space="preserve">אמש, כשהראני מן הרב </w:t>
      </w:r>
      <w:proofErr w:type="spellStart"/>
      <w:r w:rsidRPr="00CE4074">
        <w:rPr>
          <w:rFonts w:hint="cs"/>
          <w:rtl/>
        </w:rPr>
        <w:t>שליט"א</w:t>
      </w:r>
      <w:proofErr w:type="spellEnd"/>
      <w:r w:rsidRPr="00CE4074">
        <w:rPr>
          <w:rFonts w:hint="cs"/>
          <w:rtl/>
        </w:rPr>
        <w:t xml:space="preserve"> את המאמר על כתבי הרב קוק מאת רמון, שבו הביע חסרון הריכוז הפילוסופי שבהם, הבעתי לרב את דעתי, ומבוקשי מאז על חיבור שיטתי מאת הרב הג' חלקים: </w:t>
      </w:r>
      <w:proofErr w:type="spellStart"/>
      <w:r w:rsidRPr="00CE4074">
        <w:rPr>
          <w:rFonts w:hint="cs"/>
          <w:rtl/>
        </w:rPr>
        <w:t>אלקי</w:t>
      </w:r>
      <w:proofErr w:type="spellEnd"/>
      <w:r w:rsidRPr="00CE4074">
        <w:rPr>
          <w:rFonts w:hint="cs"/>
          <w:rtl/>
        </w:rPr>
        <w:t xml:space="preserve"> (</w:t>
      </w:r>
      <w:proofErr w:type="spellStart"/>
      <w:r w:rsidRPr="00CE4074">
        <w:rPr>
          <w:rFonts w:hint="cs"/>
          <w:rtl/>
        </w:rPr>
        <w:t>מיטפיסי</w:t>
      </w:r>
      <w:proofErr w:type="spellEnd"/>
      <w:r w:rsidRPr="00CE4074">
        <w:rPr>
          <w:rFonts w:hint="cs"/>
          <w:rtl/>
        </w:rPr>
        <w:t xml:space="preserve">), מוסרי (תורני), ולאומי (התחיה). והרב </w:t>
      </w:r>
      <w:proofErr w:type="spellStart"/>
      <w:r w:rsidRPr="00CE4074">
        <w:rPr>
          <w:rFonts w:hint="cs"/>
          <w:rtl/>
        </w:rPr>
        <w:t>שליט"א</w:t>
      </w:r>
      <w:proofErr w:type="spellEnd"/>
      <w:r w:rsidRPr="00CE4074">
        <w:rPr>
          <w:rFonts w:hint="cs"/>
          <w:rtl/>
        </w:rPr>
        <w:t xml:space="preserve"> בעומק הגיוני חקרי לבבו אמר לי, כי זה הוא רצונו, אלא שקשה לו. גם נראה ונוח לו, שהדברים יהיו נאמרים באופן טבעי, כמו שהם נובעים מעומק הגיוני רוממות נשמת אלוקים שבאדם, החכם הישראלי, והריכוז והעיבוד השטתי המדעי שם מעצור ו</w:t>
      </w:r>
      <w:r>
        <w:rPr>
          <w:rFonts w:hint="cs"/>
          <w:rtl/>
        </w:rPr>
        <w:t>מפריע לזה. ובזה צדק מאוד.</w:t>
      </w:r>
    </w:p>
    <w:p w:rsidR="002E1523" w:rsidRDefault="002E1523" w:rsidP="002E1523">
      <w:pPr>
        <w:rPr>
          <w:rtl/>
        </w:rPr>
      </w:pPr>
    </w:p>
    <w:p w:rsidR="002E1523" w:rsidRPr="002E1523" w:rsidRDefault="002E1523" w:rsidP="002E1523">
      <w:pPr>
        <w:rPr>
          <w:b/>
          <w:bCs/>
          <w:rtl/>
        </w:rPr>
      </w:pPr>
      <w:r>
        <w:rPr>
          <w:rFonts w:hint="cs"/>
          <w:b/>
          <w:bCs/>
          <w:rtl/>
        </w:rPr>
        <w:t xml:space="preserve">שיחות </w:t>
      </w:r>
      <w:proofErr w:type="spellStart"/>
      <w:r>
        <w:rPr>
          <w:rFonts w:hint="cs"/>
          <w:b/>
          <w:bCs/>
          <w:rtl/>
        </w:rPr>
        <w:t>הראי"ה</w:t>
      </w:r>
      <w:proofErr w:type="spellEnd"/>
      <w:r>
        <w:rPr>
          <w:rFonts w:hint="cs"/>
          <w:b/>
          <w:bCs/>
          <w:rtl/>
        </w:rPr>
        <w:t>, עמ' שמח, דברים שבעל פה</w:t>
      </w:r>
    </w:p>
    <w:p w:rsidR="002E1523" w:rsidRDefault="002E1523" w:rsidP="002E1523">
      <w:pPr>
        <w:rPr>
          <w:rtl/>
        </w:rPr>
      </w:pPr>
      <w:r w:rsidRPr="00CE4074">
        <w:rPr>
          <w:rtl/>
        </w:rPr>
        <w:t xml:space="preserve">רצוני הוא שהעולם יכיר ויבין את הפנימיות שבדברי. </w:t>
      </w:r>
      <w:r>
        <w:rPr>
          <w:rtl/>
        </w:rPr>
        <w:t>אולם אם הקב"ה מסבב שדברי נתפסים</w:t>
      </w:r>
      <w:r w:rsidRPr="00CE4074">
        <w:rPr>
          <w:rFonts w:hint="cs"/>
          <w:rtl/>
        </w:rPr>
        <w:t xml:space="preserve"> </w:t>
      </w:r>
      <w:r w:rsidRPr="00CE4074">
        <w:rPr>
          <w:rtl/>
        </w:rPr>
        <w:t>רק בצורה חיצונית - נגד זה אין בידי לעשות כלום</w:t>
      </w:r>
      <w:r>
        <w:rPr>
          <w:rFonts w:hint="cs"/>
          <w:rtl/>
        </w:rPr>
        <w:t>.</w:t>
      </w:r>
    </w:p>
    <w:p w:rsidR="002E1523" w:rsidRDefault="002E1523" w:rsidP="002E1523">
      <w:pPr>
        <w:rPr>
          <w:rtl/>
        </w:rPr>
      </w:pPr>
    </w:p>
    <w:p w:rsidR="002E1523" w:rsidRDefault="00305DC8" w:rsidP="002E1523">
      <w:pPr>
        <w:rPr>
          <w:rtl/>
        </w:rPr>
      </w:pPr>
      <w:r>
        <w:rPr>
          <w:rFonts w:hint="cs"/>
          <w:b/>
          <w:bCs/>
          <w:rtl/>
        </w:rPr>
        <w:t xml:space="preserve">קובץ א פסקה </w:t>
      </w:r>
      <w:proofErr w:type="spellStart"/>
      <w:r>
        <w:rPr>
          <w:rFonts w:hint="cs"/>
          <w:b/>
          <w:bCs/>
          <w:rtl/>
        </w:rPr>
        <w:t>תרט</w:t>
      </w:r>
      <w:proofErr w:type="spellEnd"/>
    </w:p>
    <w:p w:rsidR="00305DC8" w:rsidRDefault="00305DC8" w:rsidP="002E1523">
      <w:pPr>
        <w:rPr>
          <w:rtl/>
        </w:rPr>
      </w:pPr>
      <w:r>
        <w:rPr>
          <w:rFonts w:eastAsia="MS Mincho"/>
          <w:rtl/>
        </w:rPr>
        <w:t>כל הספרים כולם, בין בקודש בין בחול, וכל הידיעות הבאות לאדם מחוצה לו, אינם כי אם עוזרים לעורר את רוחו הפנימי, להוציא לאור על ידם את הגנוז במעמקיו.</w:t>
      </w:r>
    </w:p>
    <w:p w:rsidR="00305DC8" w:rsidRPr="00305DC8" w:rsidRDefault="00305DC8" w:rsidP="002E1523">
      <w:pPr>
        <w:rPr>
          <w:rtl/>
        </w:rPr>
      </w:pPr>
    </w:p>
    <w:p w:rsidR="00B02767" w:rsidRPr="00305DC8" w:rsidRDefault="007079A5">
      <w:pPr>
        <w:rPr>
          <w:b/>
          <w:bCs/>
          <w:rtl/>
        </w:rPr>
      </w:pPr>
      <w:r w:rsidRPr="00305DC8">
        <w:rPr>
          <w:rFonts w:hint="cs"/>
          <w:b/>
          <w:bCs/>
          <w:rtl/>
        </w:rPr>
        <w:t xml:space="preserve">הקדמת הרב צבי יהודה הכהן קוק לאגרות </w:t>
      </w:r>
      <w:proofErr w:type="spellStart"/>
      <w:r w:rsidRPr="00305DC8">
        <w:rPr>
          <w:rFonts w:hint="cs"/>
          <w:b/>
          <w:bCs/>
          <w:rtl/>
        </w:rPr>
        <w:t>הראי"ה</w:t>
      </w:r>
      <w:proofErr w:type="spellEnd"/>
    </w:p>
    <w:p w:rsidR="007079A5" w:rsidRPr="007079A5" w:rsidRDefault="007079A5" w:rsidP="00A15DE1">
      <w:pPr>
        <w:rPr>
          <w:rtl/>
        </w:rPr>
      </w:pPr>
      <w:r>
        <w:rPr>
          <w:rFonts w:hint="cs"/>
          <w:rtl/>
        </w:rPr>
        <w:t>...</w:t>
      </w:r>
      <w:r w:rsidRPr="007079A5">
        <w:rPr>
          <w:rFonts w:hint="cs"/>
          <w:rtl/>
        </w:rPr>
        <w:t xml:space="preserve"> ה"אגרת", כמו תאר הפנים וקצב תנועות הגוף ואבריו וכמו אופן הדבור וצורת הכתב וסגנונם, מביאה היא לידי התבטאות, גם בנִדוניה וגם בסגנונה, את עצם מהותו של בעליה, ומשמשת ראיה ובירור לכוונו ולאופיו. מדתה העיקרית של ה"אגרת" היא, שיש בה מפנימיותה של רשות היחיד, בהבעת-דבריה הנפשית הטבעית, התמה, מאיש אל רעהו, מן היחיד אל היחיד, או גם אל כמה וכמה יחידים. יחסים יחידיים אלה וענייניהם אף הם מכוונים ומתאימים אל מעמקי רשות היחיד שבנפש, </w:t>
      </w:r>
      <w:proofErr w:type="spellStart"/>
      <w:r w:rsidRPr="007079A5">
        <w:rPr>
          <w:rFonts w:hint="cs"/>
          <w:rtl/>
        </w:rPr>
        <w:t>המתגלית</w:t>
      </w:r>
      <w:proofErr w:type="spellEnd"/>
      <w:r w:rsidRPr="007079A5">
        <w:rPr>
          <w:rFonts w:hint="cs"/>
          <w:rtl/>
        </w:rPr>
        <w:t xml:space="preserve"> עם התבטאותם</w:t>
      </w:r>
      <w:r>
        <w:rPr>
          <w:rFonts w:hint="cs"/>
          <w:rtl/>
        </w:rPr>
        <w:t xml:space="preserve"> זאת. לפיכך גם נעוצה היא ביסוד </w:t>
      </w:r>
      <w:r w:rsidRPr="007079A5">
        <w:rPr>
          <w:rFonts w:hint="cs"/>
          <w:rtl/>
        </w:rPr>
        <w:t xml:space="preserve">הנפשי הפנימי, </w:t>
      </w:r>
      <w:bookmarkStart w:id="0" w:name="_GoBack"/>
      <w:bookmarkEnd w:id="0"/>
      <w:r w:rsidRPr="007079A5">
        <w:rPr>
          <w:rFonts w:hint="cs"/>
          <w:rtl/>
        </w:rPr>
        <w:t>הדורש מצדו את הבעתם של הדברים, את גילוים והוצאתם מתוכו, את פירוקם מעל נטל עמסה את סידורם וטיפולם הראוי וההגון להם בשייכותו אליהם, - יותר מאשר בהתנוונות המפורשת כלפי חוץ אליהם; וקשורה היא ביחס שממנו, מצד פנים' אל הנידונים, יותר מאשר ביחס-שאליהם...</w:t>
      </w:r>
    </w:p>
    <w:p w:rsidR="007079A5" w:rsidRPr="007079A5" w:rsidRDefault="007079A5" w:rsidP="007079A5">
      <w:r w:rsidRPr="007079A5">
        <w:rPr>
          <w:rFonts w:hint="cs"/>
          <w:rtl/>
        </w:rPr>
        <w:lastRenderedPageBreak/>
        <w:t>ומתוך-כך הערך הרגיל של "אגרות" המתפרסמות הוא בהתבטאותן האישית, ליחיד או ליחידים, שאינה עשויה מתחילה לפי חשבונות החובות והצרכים הצבורים, ואינה מתוקנת מתחילה לפרסום ברשות הרבים, ומעתה יש לפרסומה בפרטיות אישיותן, חשיבות מיוחדת, גם מושכת ומגרה, מעין גילוי נסתרות מעמקי הנפש וגנזי גווניה.</w:t>
      </w:r>
      <w:r>
        <w:rPr>
          <w:rFonts w:hint="cs"/>
          <w:rtl/>
        </w:rPr>
        <w:t>..</w:t>
      </w:r>
      <w:r w:rsidRPr="007079A5">
        <w:rPr>
          <w:rFonts w:hint="cs"/>
          <w:rtl/>
        </w:rPr>
        <w:t xml:space="preserve"> הרי הרשות של הרבים, הזכות של ענייניהם וכווניהם; ורשותו של היחידה זה ועולמו המיוחד והמלא, הן כל-כך שייכות בהדדי, יניקות תחומיהן זה. מזה הן כל-כך שופעות ונובעות, והם כל כך מעורים ודבוקים יחד, עד אשר </w:t>
      </w:r>
      <w:proofErr w:type="spellStart"/>
      <w:r w:rsidRPr="007079A5">
        <w:rPr>
          <w:rFonts w:hint="cs"/>
          <w:rtl/>
        </w:rPr>
        <w:t>לאמיתם</w:t>
      </w:r>
      <w:proofErr w:type="spellEnd"/>
      <w:r w:rsidRPr="007079A5">
        <w:rPr>
          <w:rFonts w:hint="cs"/>
          <w:rtl/>
        </w:rPr>
        <w:t xml:space="preserve"> של דברים לא תתכן ולא תצדק כאן החלוקה המוחלטת של דברים פרטיים וכלליים, אישיים וצבורים' שמיועדים מתחילתם לפרסום ושאינם מיועדים לכך מתחילתם. כל אלה </w:t>
      </w:r>
      <w:proofErr w:type="spellStart"/>
      <w:r w:rsidRPr="007079A5">
        <w:rPr>
          <w:rFonts w:hint="cs"/>
          <w:rtl/>
        </w:rPr>
        <w:t>מהוים</w:t>
      </w:r>
      <w:proofErr w:type="spellEnd"/>
      <w:r w:rsidRPr="007079A5">
        <w:rPr>
          <w:rFonts w:hint="cs"/>
          <w:rtl/>
        </w:rPr>
        <w:t xml:space="preserve"> כאן יחד את </w:t>
      </w:r>
      <w:proofErr w:type="spellStart"/>
      <w:r w:rsidRPr="007079A5">
        <w:rPr>
          <w:rFonts w:hint="cs"/>
          <w:rtl/>
        </w:rPr>
        <w:t>הענין</w:t>
      </w:r>
      <w:proofErr w:type="spellEnd"/>
      <w:r w:rsidRPr="007079A5">
        <w:rPr>
          <w:rFonts w:hint="cs"/>
          <w:rtl/>
        </w:rPr>
        <w:t xml:space="preserve"> האחד, הגדול והכולל, השימוש, של גוף הקדושה הפנימית העצמית, והלימוד, של ההשפעה, ההדרכה והידיעה, היוצאת ומסתעפת ממנו' אף הם מופיעים כאן בבת-אחת, כמו שהנסתר והנגלה, עם כל תחומיהם השונים והמיוחדים, אף הם משווקים יחד, מחוברים ומאוחדים, בשלמות אחדותה האלוהית של התורה, התמימה </w:t>
      </w:r>
      <w:proofErr w:type="spellStart"/>
      <w:r w:rsidRPr="007079A5">
        <w:rPr>
          <w:rFonts w:hint="cs"/>
          <w:rtl/>
        </w:rPr>
        <w:t>והמשיבת</w:t>
      </w:r>
      <w:proofErr w:type="spellEnd"/>
      <w:r w:rsidRPr="007079A5">
        <w:rPr>
          <w:rFonts w:hint="cs"/>
          <w:rtl/>
        </w:rPr>
        <w:t xml:space="preserve"> נפש, ואמיתת משפטיה אשר צדקו יחדו.</w:t>
      </w:r>
    </w:p>
    <w:p w:rsidR="007079A5" w:rsidRDefault="007079A5" w:rsidP="007079A5">
      <w:r w:rsidRPr="007079A5">
        <w:rPr>
          <w:rFonts w:hint="cs"/>
          <w:rtl/>
        </w:rPr>
        <w:t xml:space="preserve">אמנם לא צורת ה"אגרת" </w:t>
      </w:r>
      <w:proofErr w:type="spellStart"/>
      <w:r w:rsidRPr="007079A5">
        <w:rPr>
          <w:rFonts w:hint="cs"/>
          <w:rtl/>
        </w:rPr>
        <w:t>בלבדה</w:t>
      </w:r>
      <w:proofErr w:type="spellEnd"/>
      <w:r w:rsidRPr="007079A5">
        <w:rPr>
          <w:rFonts w:hint="cs"/>
          <w:rtl/>
        </w:rPr>
        <w:t xml:space="preserve">, כמו שגם לא היחידיות האישית של ענייניהן ולא התהוותן שאינה מכוונת לפרסום, היא הקובעת את ערכה של הנפשיות, את התבטאות מילוא השם העצמי, את הבעת הנשמה בגילוי קדושתה, השייכת ל"אגרות". ההתבטאות האישית איננה </w:t>
      </w:r>
      <w:proofErr w:type="spellStart"/>
      <w:r w:rsidRPr="007079A5">
        <w:rPr>
          <w:rFonts w:hint="cs"/>
          <w:rtl/>
        </w:rPr>
        <w:t>ממועטת</w:t>
      </w:r>
      <w:proofErr w:type="spellEnd"/>
      <w:r w:rsidRPr="007079A5">
        <w:rPr>
          <w:rFonts w:hint="cs"/>
          <w:rtl/>
        </w:rPr>
        <w:t xml:space="preserve"> כלל מהקשר הציבורי ומפרסומו, אע"פ שבהחלט איננה מכוונת אליו כלל </w:t>
      </w:r>
      <w:proofErr w:type="spellStart"/>
      <w:r w:rsidRPr="007079A5">
        <w:rPr>
          <w:rFonts w:hint="cs"/>
          <w:rtl/>
        </w:rPr>
        <w:t>ובאמיתיות</w:t>
      </w:r>
      <w:proofErr w:type="spellEnd"/>
      <w:r w:rsidRPr="007079A5">
        <w:rPr>
          <w:rFonts w:hint="cs"/>
          <w:rtl/>
        </w:rPr>
        <w:t xml:space="preserve"> </w:t>
      </w:r>
      <w:proofErr w:type="spellStart"/>
      <w:r w:rsidRPr="007079A5">
        <w:rPr>
          <w:rFonts w:hint="cs"/>
          <w:rtl/>
        </w:rPr>
        <w:t>אופיה</w:t>
      </w:r>
      <w:proofErr w:type="spellEnd"/>
      <w:r w:rsidRPr="007079A5">
        <w:rPr>
          <w:rFonts w:hint="cs"/>
          <w:rtl/>
        </w:rPr>
        <w:t xml:space="preserve"> היא כולה פנימית, - כשם </w:t>
      </w:r>
      <w:proofErr w:type="spellStart"/>
      <w:r w:rsidRPr="007079A5">
        <w:rPr>
          <w:rFonts w:hint="cs"/>
          <w:rtl/>
        </w:rPr>
        <w:t>שהענינים</w:t>
      </w:r>
      <w:proofErr w:type="spellEnd"/>
      <w:r w:rsidRPr="007079A5">
        <w:rPr>
          <w:rFonts w:hint="cs"/>
          <w:rtl/>
        </w:rPr>
        <w:t xml:space="preserve"> הכלליים והצבורים, לכל </w:t>
      </w:r>
      <w:proofErr w:type="spellStart"/>
      <w:r w:rsidRPr="007079A5">
        <w:rPr>
          <w:rFonts w:hint="cs"/>
          <w:rtl/>
        </w:rPr>
        <w:t>מקצעותיהם</w:t>
      </w:r>
      <w:proofErr w:type="spellEnd"/>
      <w:r w:rsidRPr="007079A5">
        <w:rPr>
          <w:rFonts w:hint="cs"/>
          <w:rtl/>
        </w:rPr>
        <w:t xml:space="preserve"> וגווניהם, שייכים למהות </w:t>
      </w:r>
      <w:proofErr w:type="spellStart"/>
      <w:r w:rsidRPr="007079A5">
        <w:rPr>
          <w:rFonts w:hint="cs"/>
          <w:rtl/>
        </w:rPr>
        <w:t>הנשמתית</w:t>
      </w:r>
      <w:proofErr w:type="spellEnd"/>
      <w:r w:rsidRPr="007079A5">
        <w:rPr>
          <w:rFonts w:hint="cs"/>
          <w:rtl/>
        </w:rPr>
        <w:t xml:space="preserve"> ולבירור תפקידה, עם כל קדושת התלבטותה התמידית, של בת-מלך זו בצמצומי עולם-העשייה, מתוך דבקותה למעלה, "למה שהיא מן העליונים" (קהלת רבה פ' ו). אבל הפניה המכוונת ומפורשת, אל היחידים או הרבים, האישים או הצבורים, מקבלי הדברים, היא מגבילה את מסגרת ההתייחסות הנפשית וקישור ענינה, לאנשים ולדברים, ובזה מבססת ומאפיינה את ה"אגרות". לעומת-זה הפניה המכוונת אל כלל-ישראל, בסתמיות כלליותה ובהחלטיות ציבוריותה, אפילו היא בצורה של "אגרת", מגיעה היא בזה אל המדור הכללי של אותם </w:t>
      </w:r>
      <w:proofErr w:type="spellStart"/>
      <w:r w:rsidRPr="007079A5">
        <w:rPr>
          <w:rFonts w:hint="cs"/>
          <w:rtl/>
        </w:rPr>
        <w:t>הענינים</w:t>
      </w:r>
      <w:proofErr w:type="spellEnd"/>
      <w:r w:rsidRPr="007079A5">
        <w:rPr>
          <w:rFonts w:hint="cs"/>
          <w:rtl/>
        </w:rPr>
        <w:t xml:space="preserve">, התורניים או הספרותיים או הצבורים, והצו הנפשי האישי מובלע הוא בהם בכלליותם ובעצמיותם, לכן במערכה </w:t>
      </w:r>
      <w:proofErr w:type="spellStart"/>
      <w:r w:rsidRPr="007079A5">
        <w:rPr>
          <w:rFonts w:hint="cs"/>
          <w:rtl/>
        </w:rPr>
        <w:t>המשוכללה</w:t>
      </w:r>
      <w:proofErr w:type="spellEnd"/>
      <w:r w:rsidRPr="007079A5">
        <w:rPr>
          <w:rFonts w:hint="cs"/>
          <w:rtl/>
        </w:rPr>
        <w:t xml:space="preserve"> הזאת של "אגרות הראיה", וכל דמות תבניתה, הכוללת את השימוש והלמוד, של אצילות קדושה, דברי תורה ובירורי אמונות ודעות, מוסר ומדות, התנהגות אישית והנהגה </w:t>
      </w:r>
      <w:proofErr w:type="spellStart"/>
      <w:r w:rsidRPr="007079A5">
        <w:rPr>
          <w:rFonts w:hint="cs"/>
          <w:rtl/>
        </w:rPr>
        <w:t>צבורית</w:t>
      </w:r>
      <w:proofErr w:type="spellEnd"/>
      <w:r w:rsidRPr="007079A5">
        <w:rPr>
          <w:rFonts w:hint="cs"/>
          <w:rtl/>
        </w:rPr>
        <w:t xml:space="preserve">, הנהגת הרבנות והנהגת הישוב בארץ, הכנסתי גם אגרות הפונות אל חוגים צבורים מסוימים, כגון אל אנשי הישוב בארץ, אל </w:t>
      </w:r>
      <w:proofErr w:type="spellStart"/>
      <w:r w:rsidRPr="007079A5">
        <w:rPr>
          <w:rFonts w:hint="cs"/>
          <w:rtl/>
        </w:rPr>
        <w:t>תופשי</w:t>
      </w:r>
      <w:proofErr w:type="spellEnd"/>
      <w:r w:rsidRPr="007079A5">
        <w:rPr>
          <w:rFonts w:hint="cs"/>
          <w:rtl/>
        </w:rPr>
        <w:t xml:space="preserve"> התורה, אל מנהיגים ועסקנים </w:t>
      </w:r>
      <w:proofErr w:type="spellStart"/>
      <w:r w:rsidRPr="007079A5">
        <w:rPr>
          <w:rFonts w:hint="cs"/>
          <w:rtl/>
        </w:rPr>
        <w:t>בענינים</w:t>
      </w:r>
      <w:proofErr w:type="spellEnd"/>
      <w:r w:rsidRPr="007079A5">
        <w:rPr>
          <w:rFonts w:hint="cs"/>
          <w:rtl/>
        </w:rPr>
        <w:t xml:space="preserve"> אלה, ולא את אלה הפונות אל הכלל הישראלי כולו.</w:t>
      </w:r>
      <w:r>
        <w:rPr>
          <w:rFonts w:hint="cs"/>
          <w:rtl/>
        </w:rPr>
        <w:t>...</w:t>
      </w:r>
    </w:p>
    <w:sectPr w:rsidR="007079A5" w:rsidSect="007132C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9A5"/>
    <w:rsid w:val="002E1523"/>
    <w:rsid w:val="00305DC8"/>
    <w:rsid w:val="007079A5"/>
    <w:rsid w:val="007132C7"/>
    <w:rsid w:val="00980C0A"/>
    <w:rsid w:val="00A15DE1"/>
    <w:rsid w:val="00AE62E1"/>
    <w:rsid w:val="00B02767"/>
    <w:rsid w:val="00C93E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ED3"/>
    <w:pPr>
      <w:bidi/>
      <w:spacing w:beforeAutospacing="1" w:after="0" w:afterAutospacing="1" w:line="360" w:lineRule="auto"/>
      <w:contextualSpacing/>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Quote"/>
    <w:basedOn w:val="a"/>
    <w:link w:val="a4"/>
    <w:uiPriority w:val="99"/>
    <w:qFormat/>
    <w:rsid w:val="007079A5"/>
    <w:pPr>
      <w:tabs>
        <w:tab w:val="right" w:pos="4620"/>
      </w:tabs>
      <w:autoSpaceDE w:val="0"/>
      <w:autoSpaceDN w:val="0"/>
      <w:spacing w:beforeAutospacing="0" w:after="120" w:afterAutospacing="0" w:line="290" w:lineRule="exact"/>
      <w:ind w:left="567"/>
      <w:contextualSpacing w:val="0"/>
    </w:pPr>
    <w:rPr>
      <w:rFonts w:ascii="Times New Roman" w:eastAsiaTheme="minorEastAsia" w:hAnsi="Times New Roman" w:cs="Times New Roman"/>
      <w:sz w:val="20"/>
      <w:szCs w:val="22"/>
    </w:rPr>
  </w:style>
  <w:style w:type="character" w:customStyle="1" w:styleId="a4">
    <w:name w:val="ציטוט תו"/>
    <w:basedOn w:val="a0"/>
    <w:link w:val="a3"/>
    <w:uiPriority w:val="99"/>
    <w:rsid w:val="007079A5"/>
    <w:rPr>
      <w:rFonts w:ascii="Times New Roman" w:eastAsiaTheme="minorEastAsia" w:hAnsi="Times New Roman"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ED3"/>
    <w:pPr>
      <w:bidi/>
      <w:spacing w:beforeAutospacing="1" w:after="0" w:afterAutospacing="1" w:line="360" w:lineRule="auto"/>
      <w:contextualSpacing/>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Quote"/>
    <w:basedOn w:val="a"/>
    <w:link w:val="a4"/>
    <w:uiPriority w:val="99"/>
    <w:qFormat/>
    <w:rsid w:val="007079A5"/>
    <w:pPr>
      <w:tabs>
        <w:tab w:val="right" w:pos="4620"/>
      </w:tabs>
      <w:autoSpaceDE w:val="0"/>
      <w:autoSpaceDN w:val="0"/>
      <w:spacing w:beforeAutospacing="0" w:after="120" w:afterAutospacing="0" w:line="290" w:lineRule="exact"/>
      <w:ind w:left="567"/>
      <w:contextualSpacing w:val="0"/>
    </w:pPr>
    <w:rPr>
      <w:rFonts w:ascii="Times New Roman" w:eastAsiaTheme="minorEastAsia" w:hAnsi="Times New Roman" w:cs="Times New Roman"/>
      <w:sz w:val="20"/>
      <w:szCs w:val="22"/>
    </w:rPr>
  </w:style>
  <w:style w:type="character" w:customStyle="1" w:styleId="a4">
    <w:name w:val="ציטוט תו"/>
    <w:basedOn w:val="a0"/>
    <w:link w:val="a3"/>
    <w:uiPriority w:val="99"/>
    <w:rsid w:val="007079A5"/>
    <w:rPr>
      <w:rFonts w:ascii="Times New Roman" w:eastAsiaTheme="minorEastAsia"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66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826</Words>
  <Characters>4135</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AkSt</dc:creator>
  <cp:keywords/>
  <dc:description/>
  <cp:lastModifiedBy>AkSt</cp:lastModifiedBy>
  <cp:revision>2</cp:revision>
  <dcterms:created xsi:type="dcterms:W3CDTF">2017-07-26T20:22:00Z</dcterms:created>
  <dcterms:modified xsi:type="dcterms:W3CDTF">2017-08-15T11:39:00Z</dcterms:modified>
</cp:coreProperties>
</file>