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2D" w:rsidRPr="0061622D" w:rsidRDefault="0061622D" w:rsidP="0061622D"/>
    <w:p w:rsidR="0061622D" w:rsidRPr="0061622D" w:rsidRDefault="0061622D" w:rsidP="0061622D">
      <w:pPr>
        <w:rPr>
          <w:rtl/>
        </w:rPr>
      </w:pPr>
      <w:r w:rsidRPr="0061622D">
        <w:rPr>
          <w:rFonts w:hint="cs"/>
          <w:b/>
          <w:bCs/>
          <w:rtl/>
        </w:rPr>
        <w:t>ש"ח, כג</w:t>
      </w:r>
      <w:r w:rsidRPr="0061622D">
        <w:rPr>
          <w:rFonts w:hint="cs"/>
          <w:rtl/>
        </w:rPr>
        <w:t xml:space="preserve"> מותר לחתוך ענף מן הדקל מבעוד יום, ומותר להניף בו על השלחן בשבת להבריח הזבובים; כיון דלצורך חתכו, עשאו כלי גמור.</w:t>
      </w:r>
    </w:p>
    <w:p w:rsidR="0061622D" w:rsidRPr="0061622D" w:rsidRDefault="0061622D" w:rsidP="0061622D">
      <w:pPr>
        <w:rPr>
          <w:rtl/>
        </w:rPr>
      </w:pPr>
      <w:r w:rsidRPr="0061622D">
        <w:rPr>
          <w:rFonts w:hint="cs"/>
          <w:b/>
          <w:bCs/>
          <w:rtl/>
        </w:rPr>
        <w:t>ש"ח, כב</w:t>
      </w:r>
      <w:r w:rsidRPr="0061622D">
        <w:rPr>
          <w:rFonts w:hint="cs"/>
          <w:rtl/>
        </w:rPr>
        <w:t xml:space="preserve"> אסור לכסות פי חבית באבן או בבקעת, או לסגור בהן את הדלת, או להכות בהן בברזא... אף על פי שחשב עליה מבעוד יום, אסור, אלא אם כן יחדה לכך לעולם; אבל יחדה לשבת זה בלבד, לא. והני מילי, בדבר שאין דרכה לייחדה לכך, כגון הני דאמרן; אבל בכל מידי דאורחיה בהכי, כגון: לפצוע בה אגוזים, ביחוד לשבת אחת סגי...</w:t>
      </w:r>
    </w:p>
    <w:p w:rsidR="0061622D" w:rsidRPr="0061622D" w:rsidRDefault="0061622D" w:rsidP="0061622D">
      <w:pPr>
        <w:rPr>
          <w:rtl/>
        </w:rPr>
      </w:pPr>
      <w:r w:rsidRPr="0061622D">
        <w:rPr>
          <w:rFonts w:hint="cs"/>
          <w:rtl/>
        </w:rPr>
        <w:t>(צד) אבל יחדה וכו' - אלא אם כן עשה בהן מעשה המוכיח שעומדין להשתמש:</w:t>
      </w:r>
    </w:p>
    <w:p w:rsidR="0061622D" w:rsidRPr="0061622D" w:rsidRDefault="0061622D" w:rsidP="0061622D">
      <w:pPr>
        <w:rPr>
          <w:rtl/>
        </w:rPr>
      </w:pPr>
      <w:r w:rsidRPr="0061622D">
        <w:rPr>
          <w:rFonts w:hint="cs"/>
          <w:rtl/>
        </w:rPr>
        <w:t>(צג) ואם היה רגיל בימות החול להשתמש בהן איזה תשמיש, סגי, אפילו לא יחדן בפירוש. והאי יחוד שכתוב בשו"ע, נראה דאפילו במחשבה בעלמא, ולא בעינן שיפרש בפה:</w:t>
      </w:r>
    </w:p>
    <w:p w:rsidR="0061622D" w:rsidRPr="0061622D" w:rsidRDefault="0061622D" w:rsidP="0061622D">
      <w:pPr>
        <w:rPr>
          <w:rtl/>
        </w:rPr>
      </w:pPr>
      <w:r w:rsidRPr="0061622D">
        <w:rPr>
          <w:rFonts w:hint="cs"/>
          <w:b/>
          <w:bCs/>
          <w:rtl/>
        </w:rPr>
        <w:t>שש"כ, כ', מו</w:t>
      </w:r>
      <w:r w:rsidRPr="0061622D">
        <w:rPr>
          <w:rFonts w:hint="cs"/>
          <w:rtl/>
        </w:rPr>
        <w:t xml:space="preserve"> ...דבר העומד לשימוש חד-פעמי, כמו החול שייחדו מבעוד יום לכסות בו צואה או קרח וכדו'... מועיל יחוד זה להפקיעו מאיסור מוקצה.</w:t>
      </w:r>
    </w:p>
    <w:p w:rsidR="0061622D" w:rsidRPr="0061622D" w:rsidRDefault="0061622D" w:rsidP="0061622D">
      <w:pPr>
        <w:rPr>
          <w:rtl/>
        </w:rPr>
      </w:pPr>
    </w:p>
    <w:p w:rsidR="0061622D" w:rsidRPr="0061622D" w:rsidRDefault="0061622D" w:rsidP="0061622D">
      <w:pPr>
        <w:rPr>
          <w:rtl/>
        </w:rPr>
      </w:pPr>
      <w:r w:rsidRPr="0061622D">
        <w:rPr>
          <w:rFonts w:hint="cs"/>
          <w:b/>
          <w:bCs/>
          <w:rtl/>
        </w:rPr>
        <w:t>ש"ח, ח</w:t>
      </w:r>
      <w:r w:rsidRPr="0061622D">
        <w:rPr>
          <w:rFonts w:hint="cs"/>
          <w:rtl/>
        </w:rPr>
        <w:t xml:space="preserve"> כל הכלים הנטלים בשבת, דלתותיהן שנתפרקו מהם נטלים, בין נתפרקו בחול בין נתפרקו בשבת.</w:t>
      </w:r>
    </w:p>
    <w:p w:rsidR="0061622D" w:rsidRPr="0061622D" w:rsidRDefault="0061622D" w:rsidP="0061622D">
      <w:pPr>
        <w:rPr>
          <w:rtl/>
        </w:rPr>
      </w:pPr>
      <w:r w:rsidRPr="0061622D">
        <w:rPr>
          <w:rFonts w:hint="cs"/>
          <w:rtl/>
        </w:rPr>
        <w:t>(לה) ...משום דאכתי כלי הוא, שראוי להתחבר עם הכלי, ועל כן מותר לטלטלן... אפילו כשאין ראוין למלאכה אחרת כלל...</w:t>
      </w:r>
    </w:p>
    <w:p w:rsidR="0061622D" w:rsidRPr="0061622D" w:rsidRDefault="0061622D" w:rsidP="0061622D">
      <w:pPr>
        <w:rPr>
          <w:b/>
          <w:bCs/>
          <w:rtl/>
        </w:rPr>
      </w:pPr>
      <w:r w:rsidRPr="0061622D">
        <w:rPr>
          <w:rFonts w:hint="cs"/>
          <w:b/>
          <w:bCs/>
          <w:rtl/>
        </w:rPr>
        <w:t>ש"ח, טו</w:t>
      </w:r>
      <w:r w:rsidRPr="0061622D">
        <w:rPr>
          <w:rFonts w:hint="cs"/>
          <w:rtl/>
        </w:rPr>
        <w:t xml:space="preserve"> סנדל שנפסקה רצועה הפנימית, עדיין תורת כלי עליו ומותר לטלטלו; נפסקה החיצונה, בטל מתורת כלי ואסור לטלטלו...</w:t>
      </w:r>
    </w:p>
    <w:p w:rsidR="0061622D" w:rsidRPr="0061622D" w:rsidRDefault="0061622D" w:rsidP="0061622D">
      <w:pPr>
        <w:rPr>
          <w:rtl/>
        </w:rPr>
      </w:pPr>
      <w:r w:rsidRPr="0061622D">
        <w:rPr>
          <w:rFonts w:hint="cs"/>
          <w:rtl/>
        </w:rPr>
        <w:t>(נח) ...כשנפסק הפנימי ראוי לתקנו... על כן עדיין שם כלי עליו; אבל כשנפסק החיצונה אינו הגון לתקנו, ודרך לזורקו לאשפה, על כן בטל מינה שם כלי. ואין חילוק בין נפסקה בשבת בין נפסקה מבעוד יום:</w:t>
      </w:r>
    </w:p>
    <w:p w:rsidR="0061622D" w:rsidRPr="0061622D" w:rsidRDefault="0061622D" w:rsidP="0061622D">
      <w:pPr>
        <w:rPr>
          <w:rtl/>
        </w:rPr>
      </w:pPr>
    </w:p>
    <w:p w:rsidR="0061622D" w:rsidRPr="0061622D" w:rsidRDefault="0061622D" w:rsidP="0061622D">
      <w:pPr>
        <w:rPr>
          <w:rtl/>
        </w:rPr>
      </w:pPr>
      <w:r w:rsidRPr="0061622D">
        <w:rPr>
          <w:rFonts w:hint="cs"/>
          <w:b/>
          <w:bCs/>
          <w:rtl/>
        </w:rPr>
        <w:t>ש"ח, ו</w:t>
      </w:r>
      <w:r w:rsidRPr="0061622D">
        <w:rPr>
          <w:rFonts w:hint="cs"/>
          <w:rtl/>
        </w:rPr>
        <w:t xml:space="preserve"> כל הכלים שנשברו, אפילו בשבת, מותר לטלטל שבריהם, ובלבד שיהיו ראוים לשום מלאכה, כגון שברי עריבה לכסות בה החבית ושברי זכוכית לכסות בה פי הפך; אבל אם אינם ראוים לשום מלאכה, לא.</w:t>
      </w:r>
    </w:p>
    <w:p w:rsidR="0061622D" w:rsidRPr="0061622D" w:rsidRDefault="0061622D" w:rsidP="0061622D">
      <w:pPr>
        <w:rPr>
          <w:rtl/>
        </w:rPr>
      </w:pPr>
      <w:bookmarkStart w:id="0" w:name="_GoBack"/>
      <w:bookmarkEnd w:id="0"/>
      <w:r w:rsidRPr="0061622D">
        <w:rPr>
          <w:rFonts w:hint="cs"/>
          <w:b/>
          <w:bCs/>
          <w:rtl/>
        </w:rPr>
        <w:t xml:space="preserve">שש"כ כ', מב </w:t>
      </w:r>
      <w:r w:rsidRPr="0061622D">
        <w:rPr>
          <w:rFonts w:hint="cs"/>
          <w:rtl/>
        </w:rPr>
        <w:t>כלי שנשבר... אם ראויים השברים לשימוש כלשהו בשבת, מותר לטלטלם גם אם אינו חושב להשתמש בהם עוד, אלא אם כן הדרך להשליך שברים כאלה לאשפה, כי אז אף שעוד ראויים הם לשימוש, מוקצה הם...</w:t>
      </w:r>
    </w:p>
    <w:p w:rsidR="0061622D" w:rsidRPr="0061622D" w:rsidRDefault="0061622D" w:rsidP="0061622D">
      <w:pPr>
        <w:rPr>
          <w:rtl/>
        </w:rPr>
      </w:pPr>
      <w:r w:rsidRPr="0061622D">
        <w:rPr>
          <w:rFonts w:hint="cs"/>
          <w:b/>
          <w:bCs/>
          <w:rtl/>
        </w:rPr>
        <w:t>ילקו"י</w:t>
      </w:r>
      <w:r w:rsidRPr="0061622D">
        <w:rPr>
          <w:rFonts w:hint="cs"/>
          <w:rtl/>
        </w:rPr>
        <w:t xml:space="preserve"> ויש מי שאומר שבזמן הזה שאין דרך להשתמש בשברי כלים, אין לטלטל את השבר בידים בשבת, ונכון לחוש לדבריו.</w:t>
      </w:r>
    </w:p>
    <w:p w:rsidR="0061622D" w:rsidRPr="0061622D" w:rsidRDefault="0061622D" w:rsidP="0061622D">
      <w:pPr>
        <w:rPr>
          <w:rtl/>
        </w:rPr>
      </w:pPr>
    </w:p>
    <w:p w:rsidR="0061622D" w:rsidRPr="0061622D" w:rsidRDefault="0061622D" w:rsidP="0061622D">
      <w:pPr>
        <w:rPr>
          <w:rtl/>
        </w:rPr>
      </w:pPr>
      <w:r w:rsidRPr="0061622D">
        <w:rPr>
          <w:rFonts w:hint="cs"/>
          <w:rtl/>
        </w:rPr>
        <w:t>(לה) ...וכל זה בדלתות הכלי... אבל בדלתות הבית או החלונות... אסורים בטלטול, דסתמן עומדין להתחבר עם הבית, ולכן אסור, בין נתפרקו בחול ובין בשבת.</w:t>
      </w:r>
    </w:p>
    <w:p w:rsidR="0061622D" w:rsidRPr="0061622D" w:rsidRDefault="0061622D" w:rsidP="0061622D">
      <w:pPr>
        <w:rPr>
          <w:rtl/>
        </w:rPr>
      </w:pPr>
    </w:p>
    <w:p w:rsidR="0061622D" w:rsidRPr="0061622D" w:rsidRDefault="0061622D" w:rsidP="0061622D">
      <w:pPr>
        <w:rPr>
          <w:rtl/>
        </w:rPr>
      </w:pPr>
    </w:p>
    <w:p w:rsidR="001767C9" w:rsidRDefault="001767C9"/>
    <w:sectPr w:rsidR="001767C9" w:rsidSect="00EC0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2D"/>
    <w:rsid w:val="00084F3E"/>
    <w:rsid w:val="001365F6"/>
    <w:rsid w:val="001767C9"/>
    <w:rsid w:val="001C58E4"/>
    <w:rsid w:val="00372A39"/>
    <w:rsid w:val="00527A33"/>
    <w:rsid w:val="0061622D"/>
    <w:rsid w:val="006E469A"/>
    <w:rsid w:val="007351B1"/>
    <w:rsid w:val="00774B3E"/>
    <w:rsid w:val="007D7BEA"/>
    <w:rsid w:val="007F10C6"/>
    <w:rsid w:val="008620B3"/>
    <w:rsid w:val="008D534A"/>
    <w:rsid w:val="00911228"/>
    <w:rsid w:val="00967467"/>
    <w:rsid w:val="00B23847"/>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9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rsid w:val="00911228"/>
  </w:style>
  <w:style w:type="character" w:styleId="a8">
    <w:name w:val="Subtle Emphasis"/>
    <w:basedOn w:val="a2"/>
    <w:uiPriority w:val="19"/>
    <w:rsid w:val="00E157C4"/>
    <w:rPr>
      <w:i/>
      <w:iCs/>
      <w:color w:val="808080" w:themeColor="text1" w:themeTint="7F"/>
    </w:rPr>
  </w:style>
  <w:style w:type="character" w:styleId="a9">
    <w:name w:val="Intense Emphasis"/>
    <w:basedOn w:val="a2"/>
    <w:uiPriority w:val="21"/>
    <w:rsid w:val="00E157C4"/>
    <w:rPr>
      <w:b/>
      <w:bCs/>
      <w:i/>
      <w:iCs/>
      <w:color w:val="4F81BD" w:themeColor="accent1"/>
    </w:rPr>
  </w:style>
  <w:style w:type="paragraph" w:styleId="aa">
    <w:name w:val="Title"/>
    <w:basedOn w:val="a1"/>
    <w:next w:val="a1"/>
    <w:link w:val="ab"/>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2"/>
    <w:link w:val="aa"/>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כותרת משנה תו"/>
    <w:basedOn w:val="a2"/>
    <w:link w:val="ac"/>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e">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
    <w:name w:val="Quote"/>
    <w:basedOn w:val="a1"/>
    <w:next w:val="a1"/>
    <w:link w:val="af0"/>
    <w:uiPriority w:val="29"/>
    <w:rsid w:val="00E157C4"/>
    <w:rPr>
      <w:i/>
      <w:iCs/>
      <w:color w:val="000000" w:themeColor="text1"/>
    </w:rPr>
  </w:style>
  <w:style w:type="character" w:customStyle="1" w:styleId="af0">
    <w:name w:val="ציטוט תו"/>
    <w:basedOn w:val="a2"/>
    <w:link w:val="af"/>
    <w:uiPriority w:val="29"/>
    <w:rsid w:val="00E157C4"/>
    <w:rPr>
      <w:rFonts w:ascii="Times New Roman" w:hAnsi="Times New Roman" w:cs="David"/>
      <w:i/>
      <w:iCs/>
      <w:color w:val="000000" w:themeColor="text1"/>
    </w:rPr>
  </w:style>
  <w:style w:type="paragraph" w:styleId="af1">
    <w:name w:val="Intense Quote"/>
    <w:basedOn w:val="a1"/>
    <w:next w:val="a1"/>
    <w:link w:val="af2"/>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2">
    <w:name w:val="ציטוט חזק תו"/>
    <w:basedOn w:val="a2"/>
    <w:link w:val="af1"/>
    <w:uiPriority w:val="30"/>
    <w:rsid w:val="00E157C4"/>
    <w:rPr>
      <w:rFonts w:ascii="Times New Roman" w:hAnsi="Times New Roman" w:cs="David"/>
      <w:b/>
      <w:bCs/>
      <w:i/>
      <w:iCs/>
      <w:color w:val="4F81BD" w:themeColor="accent1"/>
    </w:rPr>
  </w:style>
  <w:style w:type="character" w:styleId="af3">
    <w:name w:val="Subtle Reference"/>
    <w:basedOn w:val="a2"/>
    <w:uiPriority w:val="31"/>
    <w:rsid w:val="00E157C4"/>
    <w:rPr>
      <w:smallCaps/>
      <w:color w:val="C0504D" w:themeColor="accent2"/>
      <w:u w:val="single"/>
    </w:rPr>
  </w:style>
  <w:style w:type="character" w:styleId="af4">
    <w:name w:val="Intense Reference"/>
    <w:basedOn w:val="a2"/>
    <w:uiPriority w:val="32"/>
    <w:rsid w:val="00E157C4"/>
    <w:rPr>
      <w:b/>
      <w:bCs/>
      <w:smallCaps/>
      <w:color w:val="C0504D" w:themeColor="accent2"/>
      <w:spacing w:val="5"/>
      <w:u w:val="single"/>
    </w:rPr>
  </w:style>
  <w:style w:type="character" w:styleId="af5">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6">
    <w:name w:val="אדום"/>
    <w:qFormat/>
    <w:rsid w:val="00084F3E"/>
    <w:rPr>
      <w:rFonts w:ascii="David"/>
      <w:color w:val="FF0000"/>
    </w:rPr>
  </w:style>
  <w:style w:type="character" w:customStyle="1" w:styleId="af7">
    <w:name w:val="אדום מחיקה"/>
    <w:qFormat/>
    <w:rsid w:val="00084F3E"/>
    <w:rPr>
      <w:strike/>
      <w:dstrike w:val="0"/>
      <w:color w:val="FF0000"/>
    </w:rPr>
  </w:style>
  <w:style w:type="character" w:customStyle="1" w:styleId="af8">
    <w:name w:val="כתב קורן"/>
    <w:basedOn w:val="a2"/>
    <w:uiPriority w:val="1"/>
    <w:qFormat/>
    <w:rsid w:val="00D92958"/>
    <w:rPr>
      <w:rFonts w:cs="Guttman Keren"/>
    </w:rPr>
  </w:style>
  <w:style w:type="character" w:customStyle="1" w:styleId="af9">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a">
    <w:name w:val="הערות"/>
    <w:basedOn w:val="a1"/>
    <w:link w:val="afb"/>
    <w:rsid w:val="00C84BA1"/>
    <w:pPr>
      <w:spacing w:line="220" w:lineRule="atLeast"/>
      <w:ind w:left="340"/>
    </w:pPr>
    <w:rPr>
      <w:rFonts w:asciiTheme="minorHAnsi" w:hAnsiTheme="minorHAnsi"/>
      <w:iCs/>
    </w:rPr>
  </w:style>
  <w:style w:type="character" w:customStyle="1" w:styleId="afb">
    <w:name w:val="הערות תו"/>
    <w:link w:val="afa"/>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c">
    <w:name w:val="ציטוטים"/>
    <w:basedOn w:val="a1"/>
    <w:rsid w:val="00774B3E"/>
    <w:pPr>
      <w:ind w:left="1134"/>
    </w:pPr>
    <w:rPr>
      <w:rFonts w:cs="Narkisim"/>
    </w:rPr>
  </w:style>
  <w:style w:type="paragraph" w:customStyle="1" w:styleId="afd">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e">
    <w:name w:val="ציון אדום"/>
    <w:basedOn w:val="a2"/>
    <w:rsid w:val="00967467"/>
    <w:rPr>
      <w:color w:val="FF0000"/>
      <w:sz w:val="18"/>
      <w:szCs w:val="18"/>
    </w:rPr>
  </w:style>
  <w:style w:type="paragraph" w:styleId="aff">
    <w:name w:val="footnote text"/>
    <w:basedOn w:val="a1"/>
    <w:link w:val="aff0"/>
    <w:uiPriority w:val="99"/>
    <w:unhideWhenUsed/>
    <w:rsid w:val="00B23847"/>
    <w:pPr>
      <w:spacing w:before="0"/>
    </w:pPr>
    <w:rPr>
      <w:sz w:val="20"/>
      <w:szCs w:val="20"/>
    </w:rPr>
  </w:style>
  <w:style w:type="character" w:customStyle="1" w:styleId="aff0">
    <w:name w:val="טקסט הערת שוליים תו"/>
    <w:basedOn w:val="a2"/>
    <w:link w:val="aff"/>
    <w:uiPriority w:val="99"/>
    <w:rsid w:val="00B23847"/>
    <w:rPr>
      <w:rFonts w:ascii="Times New Roman" w:hAnsi="Times New Roman" w:cs="David"/>
      <w:sz w:val="20"/>
      <w:szCs w:val="20"/>
    </w:rPr>
  </w:style>
  <w:style w:type="character" w:styleId="aff1">
    <w:name w:val="footnote reference"/>
    <w:basedOn w:val="a2"/>
    <w:uiPriority w:val="99"/>
    <w:semiHidden/>
    <w:unhideWhenUsed/>
    <w:rsid w:val="00B23847"/>
    <w:rPr>
      <w:vertAlign w:val="superscript"/>
    </w:rPr>
  </w:style>
  <w:style w:type="paragraph" w:styleId="aff2">
    <w:name w:val="header"/>
    <w:basedOn w:val="a1"/>
    <w:link w:val="aff3"/>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3">
    <w:name w:val="כותרת עליונה תו"/>
    <w:basedOn w:val="a2"/>
    <w:link w:val="aff2"/>
    <w:uiPriority w:val="99"/>
    <w:rsid w:val="00B23847"/>
    <w:rPr>
      <w:rFonts w:ascii="Times New Roman" w:hAnsi="Times New Roman" w:cs="David"/>
    </w:rPr>
  </w:style>
  <w:style w:type="paragraph" w:customStyle="1" w:styleId="aff4">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5">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9A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rsid w:val="00911228"/>
  </w:style>
  <w:style w:type="character" w:styleId="a8">
    <w:name w:val="Subtle Emphasis"/>
    <w:basedOn w:val="a2"/>
    <w:uiPriority w:val="19"/>
    <w:rsid w:val="00E157C4"/>
    <w:rPr>
      <w:i/>
      <w:iCs/>
      <w:color w:val="808080" w:themeColor="text1" w:themeTint="7F"/>
    </w:rPr>
  </w:style>
  <w:style w:type="character" w:styleId="a9">
    <w:name w:val="Intense Emphasis"/>
    <w:basedOn w:val="a2"/>
    <w:uiPriority w:val="21"/>
    <w:rsid w:val="00E157C4"/>
    <w:rPr>
      <w:b/>
      <w:bCs/>
      <w:i/>
      <w:iCs/>
      <w:color w:val="4F81BD" w:themeColor="accent1"/>
    </w:rPr>
  </w:style>
  <w:style w:type="paragraph" w:styleId="aa">
    <w:name w:val="Title"/>
    <w:basedOn w:val="a1"/>
    <w:next w:val="a1"/>
    <w:link w:val="ab"/>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2"/>
    <w:link w:val="aa"/>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כותרת משנה תו"/>
    <w:basedOn w:val="a2"/>
    <w:link w:val="ac"/>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e">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
    <w:name w:val="Quote"/>
    <w:basedOn w:val="a1"/>
    <w:next w:val="a1"/>
    <w:link w:val="af0"/>
    <w:uiPriority w:val="29"/>
    <w:rsid w:val="00E157C4"/>
    <w:rPr>
      <w:i/>
      <w:iCs/>
      <w:color w:val="000000" w:themeColor="text1"/>
    </w:rPr>
  </w:style>
  <w:style w:type="character" w:customStyle="1" w:styleId="af0">
    <w:name w:val="ציטוט תו"/>
    <w:basedOn w:val="a2"/>
    <w:link w:val="af"/>
    <w:uiPriority w:val="29"/>
    <w:rsid w:val="00E157C4"/>
    <w:rPr>
      <w:rFonts w:ascii="Times New Roman" w:hAnsi="Times New Roman" w:cs="David"/>
      <w:i/>
      <w:iCs/>
      <w:color w:val="000000" w:themeColor="text1"/>
    </w:rPr>
  </w:style>
  <w:style w:type="paragraph" w:styleId="af1">
    <w:name w:val="Intense Quote"/>
    <w:basedOn w:val="a1"/>
    <w:next w:val="a1"/>
    <w:link w:val="af2"/>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2">
    <w:name w:val="ציטוט חזק תו"/>
    <w:basedOn w:val="a2"/>
    <w:link w:val="af1"/>
    <w:uiPriority w:val="30"/>
    <w:rsid w:val="00E157C4"/>
    <w:rPr>
      <w:rFonts w:ascii="Times New Roman" w:hAnsi="Times New Roman" w:cs="David"/>
      <w:b/>
      <w:bCs/>
      <w:i/>
      <w:iCs/>
      <w:color w:val="4F81BD" w:themeColor="accent1"/>
    </w:rPr>
  </w:style>
  <w:style w:type="character" w:styleId="af3">
    <w:name w:val="Subtle Reference"/>
    <w:basedOn w:val="a2"/>
    <w:uiPriority w:val="31"/>
    <w:rsid w:val="00E157C4"/>
    <w:rPr>
      <w:smallCaps/>
      <w:color w:val="C0504D" w:themeColor="accent2"/>
      <w:u w:val="single"/>
    </w:rPr>
  </w:style>
  <w:style w:type="character" w:styleId="af4">
    <w:name w:val="Intense Reference"/>
    <w:basedOn w:val="a2"/>
    <w:uiPriority w:val="32"/>
    <w:rsid w:val="00E157C4"/>
    <w:rPr>
      <w:b/>
      <w:bCs/>
      <w:smallCaps/>
      <w:color w:val="C0504D" w:themeColor="accent2"/>
      <w:spacing w:val="5"/>
      <w:u w:val="single"/>
    </w:rPr>
  </w:style>
  <w:style w:type="character" w:styleId="af5">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6">
    <w:name w:val="אדום"/>
    <w:qFormat/>
    <w:rsid w:val="00084F3E"/>
    <w:rPr>
      <w:rFonts w:ascii="David"/>
      <w:color w:val="FF0000"/>
    </w:rPr>
  </w:style>
  <w:style w:type="character" w:customStyle="1" w:styleId="af7">
    <w:name w:val="אדום מחיקה"/>
    <w:qFormat/>
    <w:rsid w:val="00084F3E"/>
    <w:rPr>
      <w:strike/>
      <w:dstrike w:val="0"/>
      <w:color w:val="FF0000"/>
    </w:rPr>
  </w:style>
  <w:style w:type="character" w:customStyle="1" w:styleId="af8">
    <w:name w:val="כתב קורן"/>
    <w:basedOn w:val="a2"/>
    <w:uiPriority w:val="1"/>
    <w:qFormat/>
    <w:rsid w:val="00D92958"/>
    <w:rPr>
      <w:rFonts w:cs="Guttman Keren"/>
    </w:rPr>
  </w:style>
  <w:style w:type="character" w:customStyle="1" w:styleId="af9">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a">
    <w:name w:val="הערות"/>
    <w:basedOn w:val="a1"/>
    <w:link w:val="afb"/>
    <w:rsid w:val="00C84BA1"/>
    <w:pPr>
      <w:spacing w:line="220" w:lineRule="atLeast"/>
      <w:ind w:left="340"/>
    </w:pPr>
    <w:rPr>
      <w:rFonts w:asciiTheme="minorHAnsi" w:hAnsiTheme="minorHAnsi"/>
      <w:iCs/>
    </w:rPr>
  </w:style>
  <w:style w:type="character" w:customStyle="1" w:styleId="afb">
    <w:name w:val="הערות תו"/>
    <w:link w:val="afa"/>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c">
    <w:name w:val="ציטוטים"/>
    <w:basedOn w:val="a1"/>
    <w:rsid w:val="00774B3E"/>
    <w:pPr>
      <w:ind w:left="1134"/>
    </w:pPr>
    <w:rPr>
      <w:rFonts w:cs="Narkisim"/>
    </w:rPr>
  </w:style>
  <w:style w:type="paragraph" w:customStyle="1" w:styleId="afd">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e">
    <w:name w:val="ציון אדום"/>
    <w:basedOn w:val="a2"/>
    <w:rsid w:val="00967467"/>
    <w:rPr>
      <w:color w:val="FF0000"/>
      <w:sz w:val="18"/>
      <w:szCs w:val="18"/>
    </w:rPr>
  </w:style>
  <w:style w:type="paragraph" w:styleId="aff">
    <w:name w:val="footnote text"/>
    <w:basedOn w:val="a1"/>
    <w:link w:val="aff0"/>
    <w:uiPriority w:val="99"/>
    <w:unhideWhenUsed/>
    <w:rsid w:val="00B23847"/>
    <w:pPr>
      <w:spacing w:before="0"/>
    </w:pPr>
    <w:rPr>
      <w:sz w:val="20"/>
      <w:szCs w:val="20"/>
    </w:rPr>
  </w:style>
  <w:style w:type="character" w:customStyle="1" w:styleId="aff0">
    <w:name w:val="טקסט הערת שוליים תו"/>
    <w:basedOn w:val="a2"/>
    <w:link w:val="aff"/>
    <w:uiPriority w:val="99"/>
    <w:rsid w:val="00B23847"/>
    <w:rPr>
      <w:rFonts w:ascii="Times New Roman" w:hAnsi="Times New Roman" w:cs="David"/>
      <w:sz w:val="20"/>
      <w:szCs w:val="20"/>
    </w:rPr>
  </w:style>
  <w:style w:type="character" w:styleId="aff1">
    <w:name w:val="footnote reference"/>
    <w:basedOn w:val="a2"/>
    <w:uiPriority w:val="99"/>
    <w:semiHidden/>
    <w:unhideWhenUsed/>
    <w:rsid w:val="00B23847"/>
    <w:rPr>
      <w:vertAlign w:val="superscript"/>
    </w:rPr>
  </w:style>
  <w:style w:type="paragraph" w:styleId="aff2">
    <w:name w:val="header"/>
    <w:basedOn w:val="a1"/>
    <w:link w:val="aff3"/>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3">
    <w:name w:val="כותרת עליונה תו"/>
    <w:basedOn w:val="a2"/>
    <w:link w:val="aff2"/>
    <w:uiPriority w:val="99"/>
    <w:rsid w:val="00B23847"/>
    <w:rPr>
      <w:rFonts w:ascii="Times New Roman" w:hAnsi="Times New Roman" w:cs="David"/>
    </w:rPr>
  </w:style>
  <w:style w:type="paragraph" w:customStyle="1" w:styleId="aff4">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5">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980">
      <w:bodyDiv w:val="1"/>
      <w:marLeft w:val="0"/>
      <w:marRight w:val="0"/>
      <w:marTop w:val="0"/>
      <w:marBottom w:val="0"/>
      <w:divBdr>
        <w:top w:val="none" w:sz="0" w:space="0" w:color="auto"/>
        <w:left w:val="none" w:sz="0" w:space="0" w:color="auto"/>
        <w:bottom w:val="none" w:sz="0" w:space="0" w:color="auto"/>
        <w:right w:val="none" w:sz="0" w:space="0" w:color="auto"/>
      </w:divBdr>
    </w:div>
    <w:div w:id="16525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1580</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2</cp:revision>
  <dcterms:created xsi:type="dcterms:W3CDTF">2017-04-27T09:45:00Z</dcterms:created>
  <dcterms:modified xsi:type="dcterms:W3CDTF">2017-04-27T09:50:00Z</dcterms:modified>
</cp:coreProperties>
</file>